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23551" w14:textId="6CD497B2" w:rsidR="007932C4" w:rsidRPr="00DC205C" w:rsidRDefault="002D3E09" w:rsidP="00DC205C">
      <w:pPr>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Pr="00DC205C">
        <w:rPr>
          <w:rFonts w:asciiTheme="majorHAnsi" w:hAnsiTheme="majorHAnsi" w:cstheme="majorHAnsi"/>
        </w:rPr>
        <w:tab/>
      </w:r>
      <w:r w:rsidR="007932C4" w:rsidRPr="00DC205C">
        <w:rPr>
          <w:rFonts w:asciiTheme="majorHAnsi" w:hAnsiTheme="majorHAnsi" w:cstheme="majorHAnsi"/>
        </w:rPr>
        <w:tab/>
      </w:r>
      <w:r w:rsidR="007932C4" w:rsidRPr="00DC205C">
        <w:rPr>
          <w:rFonts w:asciiTheme="majorHAnsi" w:hAnsiTheme="majorHAnsi" w:cstheme="majorHAnsi"/>
        </w:rPr>
        <w:tab/>
      </w:r>
      <w:r w:rsidR="00677A72" w:rsidRPr="00DC205C">
        <w:rPr>
          <w:rFonts w:asciiTheme="majorHAnsi" w:hAnsiTheme="majorHAnsi" w:cstheme="majorHAnsi"/>
        </w:rPr>
        <w:t xml:space="preserve">         </w:t>
      </w:r>
      <w:r w:rsidR="007932C4" w:rsidRPr="00DC205C">
        <w:rPr>
          <w:rFonts w:asciiTheme="majorHAnsi" w:hAnsiTheme="majorHAnsi" w:cstheme="majorHAnsi"/>
        </w:rPr>
        <w:t xml:space="preserve">Assiterminal, </w:t>
      </w:r>
      <w:r w:rsidR="000B0864" w:rsidRPr="00DC205C">
        <w:rPr>
          <w:rFonts w:asciiTheme="majorHAnsi" w:hAnsiTheme="majorHAnsi" w:cstheme="majorHAnsi"/>
        </w:rPr>
        <w:t>3 maggio</w:t>
      </w:r>
      <w:r w:rsidR="007932C4" w:rsidRPr="00DC205C">
        <w:rPr>
          <w:rFonts w:asciiTheme="majorHAnsi" w:hAnsiTheme="majorHAnsi" w:cstheme="majorHAnsi"/>
        </w:rPr>
        <w:t xml:space="preserve"> 2024</w:t>
      </w:r>
    </w:p>
    <w:p w14:paraId="747EDD2C" w14:textId="672F9350" w:rsidR="00904C59" w:rsidRPr="00DC205C" w:rsidRDefault="00DC205C" w:rsidP="00DC205C">
      <w:pPr>
        <w:tabs>
          <w:tab w:val="left" w:pos="2400"/>
        </w:tabs>
        <w:spacing w:before="100" w:beforeAutospacing="1" w:after="100" w:afterAutospacing="1" w:line="276" w:lineRule="auto"/>
        <w:ind w:left="-284" w:right="-284"/>
        <w:jc w:val="both"/>
        <w:rPr>
          <w:rFonts w:asciiTheme="majorHAnsi" w:hAnsiTheme="majorHAnsi" w:cstheme="majorHAnsi"/>
        </w:rPr>
      </w:pPr>
      <w:r>
        <w:rPr>
          <w:rFonts w:asciiTheme="majorHAnsi" w:hAnsiTheme="majorHAnsi" w:cstheme="majorHAnsi"/>
        </w:rPr>
        <w:tab/>
      </w:r>
    </w:p>
    <w:p w14:paraId="66C146E2" w14:textId="3EF27199" w:rsidR="00505254" w:rsidRPr="00DC205C" w:rsidRDefault="00505254"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S</w:t>
      </w:r>
      <w:r w:rsidR="009279ED" w:rsidRPr="00DC205C">
        <w:rPr>
          <w:rFonts w:asciiTheme="majorHAnsi" w:hAnsiTheme="majorHAnsi" w:cstheme="majorHAnsi"/>
        </w:rPr>
        <w:t>pe</w:t>
      </w:r>
      <w:r w:rsidRPr="00DC205C">
        <w:rPr>
          <w:rFonts w:asciiTheme="majorHAnsi" w:hAnsiTheme="majorHAnsi" w:cstheme="majorHAnsi"/>
        </w:rPr>
        <w:t xml:space="preserve">tt.le </w:t>
      </w:r>
      <w:r w:rsidR="009D6B09" w:rsidRPr="00DC205C">
        <w:rPr>
          <w:rFonts w:asciiTheme="majorHAnsi" w:hAnsiTheme="majorHAnsi" w:cstheme="majorHAnsi"/>
        </w:rPr>
        <w:t>Ministero per la Protezione Civile e le Politiche del Mare</w:t>
      </w:r>
    </w:p>
    <w:p w14:paraId="42305A17" w14:textId="13FFFFC2" w:rsidR="0012668E" w:rsidRPr="00DC205C" w:rsidRDefault="008414E2"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Struttura di Missione per le Politiche del Mare</w:t>
      </w:r>
    </w:p>
    <w:p w14:paraId="54DCB235" w14:textId="60674D26" w:rsidR="0012668E" w:rsidRPr="00DC205C" w:rsidRDefault="0012668E"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 xml:space="preserve">Alla cortese attenzione: </w:t>
      </w:r>
    </w:p>
    <w:p w14:paraId="1E04AB3D" w14:textId="066896BC" w:rsidR="005404C0" w:rsidRPr="00DC205C" w:rsidRDefault="005404C0"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C</w:t>
      </w:r>
      <w:r w:rsidR="00904C59" w:rsidRPr="00DC205C">
        <w:rPr>
          <w:rFonts w:asciiTheme="majorHAnsi" w:hAnsiTheme="majorHAnsi" w:cstheme="majorHAnsi"/>
        </w:rPr>
        <w:t>.a.</w:t>
      </w:r>
      <w:r w:rsidRPr="00DC205C">
        <w:rPr>
          <w:rFonts w:asciiTheme="majorHAnsi" w:hAnsiTheme="majorHAnsi" w:cstheme="majorHAnsi"/>
        </w:rPr>
        <w:t xml:space="preserve"> Pierpaolo Ribuffo</w:t>
      </w:r>
    </w:p>
    <w:p w14:paraId="032D904A" w14:textId="543F5C09" w:rsidR="005404C0" w:rsidRPr="00DC205C" w:rsidRDefault="005404C0"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Avv Giuseppe Cavuoti</w:t>
      </w:r>
    </w:p>
    <w:p w14:paraId="169DA4A3" w14:textId="2BD0BB2A" w:rsidR="00B1304A" w:rsidRPr="00DC205C" w:rsidRDefault="005404C0" w:rsidP="00DC205C">
      <w:pPr>
        <w:tabs>
          <w:tab w:val="left" w:pos="1800"/>
        </w:tabs>
        <w:spacing w:before="100" w:beforeAutospacing="1" w:after="100" w:afterAutospacing="1"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 xml:space="preserve">Oggetto: </w:t>
      </w:r>
      <w:r w:rsidR="00EB64B9" w:rsidRPr="00DC205C">
        <w:rPr>
          <w:rFonts w:asciiTheme="majorHAnsi" w:hAnsiTheme="majorHAnsi" w:cstheme="majorHAnsi"/>
          <w:b/>
          <w:bCs/>
          <w:i/>
          <w:iCs/>
        </w:rPr>
        <w:t>contribut</w:t>
      </w:r>
      <w:r w:rsidR="00E40AA9" w:rsidRPr="00DC205C">
        <w:rPr>
          <w:rFonts w:asciiTheme="majorHAnsi" w:hAnsiTheme="majorHAnsi" w:cstheme="majorHAnsi"/>
          <w:b/>
          <w:bCs/>
          <w:i/>
          <w:iCs/>
        </w:rPr>
        <w:t>i</w:t>
      </w:r>
      <w:r w:rsidR="00EB64B9" w:rsidRPr="00DC205C">
        <w:rPr>
          <w:rFonts w:asciiTheme="majorHAnsi" w:hAnsiTheme="majorHAnsi" w:cstheme="majorHAnsi"/>
          <w:b/>
          <w:bCs/>
          <w:i/>
          <w:iCs/>
        </w:rPr>
        <w:t xml:space="preserve"> di dettaglio</w:t>
      </w:r>
      <w:r w:rsidR="00B1304A" w:rsidRPr="00DC205C">
        <w:rPr>
          <w:rFonts w:asciiTheme="majorHAnsi" w:hAnsiTheme="majorHAnsi" w:cstheme="majorHAnsi"/>
          <w:b/>
          <w:bCs/>
          <w:i/>
          <w:iCs/>
        </w:rPr>
        <w:t xml:space="preserve"> </w:t>
      </w:r>
      <w:r w:rsidR="00085F9B" w:rsidRPr="00DC205C">
        <w:rPr>
          <w:rFonts w:asciiTheme="majorHAnsi" w:hAnsiTheme="majorHAnsi" w:cstheme="majorHAnsi"/>
          <w:b/>
          <w:bCs/>
          <w:i/>
          <w:iCs/>
        </w:rPr>
        <w:t xml:space="preserve">Audizioni del 7 </w:t>
      </w:r>
      <w:r w:rsidR="00E40AA9" w:rsidRPr="00DC205C">
        <w:rPr>
          <w:rFonts w:asciiTheme="majorHAnsi" w:hAnsiTheme="majorHAnsi" w:cstheme="majorHAnsi"/>
          <w:b/>
          <w:bCs/>
          <w:i/>
          <w:iCs/>
        </w:rPr>
        <w:t xml:space="preserve">e 21 </w:t>
      </w:r>
      <w:r w:rsidR="00085F9B" w:rsidRPr="00DC205C">
        <w:rPr>
          <w:rFonts w:asciiTheme="majorHAnsi" w:hAnsiTheme="majorHAnsi" w:cstheme="majorHAnsi"/>
          <w:b/>
          <w:bCs/>
          <w:i/>
          <w:iCs/>
        </w:rPr>
        <w:t xml:space="preserve">maggio </w:t>
      </w:r>
    </w:p>
    <w:p w14:paraId="5B75D7FB"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24FD5253"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796065ED" w14:textId="294F2989" w:rsidR="00B1304A" w:rsidRPr="00DC205C" w:rsidRDefault="00B1304A"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 xml:space="preserve">Spett.li in indirizzo, </w:t>
      </w:r>
    </w:p>
    <w:p w14:paraId="29EE2F7E" w14:textId="2822DC8B" w:rsidR="00C92F8F" w:rsidRPr="00DC205C" w:rsidRDefault="00B1304A"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 xml:space="preserve">trovate di seguito </w:t>
      </w:r>
      <w:r w:rsidR="00153391" w:rsidRPr="00DC205C">
        <w:rPr>
          <w:rFonts w:asciiTheme="majorHAnsi" w:hAnsiTheme="majorHAnsi" w:cstheme="majorHAnsi"/>
        </w:rPr>
        <w:t>specifiche proposte normative a corollario di quanto già inviatovi in data 3 maggio scorso e in relazione all’audizione del 21 maggio prossimo</w:t>
      </w:r>
      <w:r w:rsidR="00FA16E1" w:rsidRPr="00DC205C">
        <w:rPr>
          <w:rFonts w:asciiTheme="majorHAnsi" w:hAnsiTheme="majorHAnsi" w:cstheme="majorHAnsi"/>
        </w:rPr>
        <w:t xml:space="preserve"> sulla </w:t>
      </w:r>
      <w:r w:rsidR="00A65AEC" w:rsidRPr="00DC205C">
        <w:rPr>
          <w:rFonts w:asciiTheme="majorHAnsi" w:hAnsiTheme="majorHAnsi" w:cstheme="majorHAnsi"/>
        </w:rPr>
        <w:t>“</w:t>
      </w:r>
      <w:r w:rsidR="00FA16E1" w:rsidRPr="00DC205C">
        <w:rPr>
          <w:rFonts w:asciiTheme="majorHAnsi" w:hAnsiTheme="majorHAnsi" w:cstheme="majorHAnsi"/>
        </w:rPr>
        <w:t>transizione ecologica</w:t>
      </w:r>
      <w:r w:rsidR="00F05E57" w:rsidRPr="00DC205C">
        <w:rPr>
          <w:rFonts w:asciiTheme="majorHAnsi" w:hAnsiTheme="majorHAnsi" w:cstheme="majorHAnsi"/>
        </w:rPr>
        <w:t xml:space="preserve"> dell’indus</w:t>
      </w:r>
      <w:r w:rsidR="00A65AEC" w:rsidRPr="00DC205C">
        <w:rPr>
          <w:rFonts w:asciiTheme="majorHAnsi" w:hAnsiTheme="majorHAnsi" w:cstheme="majorHAnsi"/>
        </w:rPr>
        <w:t>tria del mare”</w:t>
      </w:r>
      <w:r w:rsidR="00BA07BE" w:rsidRPr="00DC205C">
        <w:rPr>
          <w:rFonts w:asciiTheme="majorHAnsi" w:hAnsiTheme="majorHAnsi" w:cstheme="majorHAnsi"/>
        </w:rPr>
        <w:t xml:space="preserve"> </w:t>
      </w:r>
    </w:p>
    <w:p w14:paraId="7EA62079" w14:textId="4D66C56F" w:rsidR="00955CA5" w:rsidRPr="00DC205C" w:rsidRDefault="004F4A34"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A</w:t>
      </w:r>
      <w:r w:rsidR="00C81F52" w:rsidRPr="00DC205C">
        <w:rPr>
          <w:rFonts w:asciiTheme="majorHAnsi" w:hAnsiTheme="majorHAnsi" w:cstheme="majorHAnsi"/>
        </w:rPr>
        <w:t xml:space="preserve">vendo avuto modo inoltre di visionare le proposte formalizzate da Confindustria, Assoporti e Ancip, </w:t>
      </w:r>
      <w:r w:rsidRPr="00DC205C">
        <w:rPr>
          <w:rFonts w:asciiTheme="majorHAnsi" w:hAnsiTheme="majorHAnsi" w:cstheme="majorHAnsi"/>
        </w:rPr>
        <w:t>anche per economia di sintesi</w:t>
      </w:r>
      <w:r w:rsidR="0019100C" w:rsidRPr="00DC205C">
        <w:rPr>
          <w:rFonts w:asciiTheme="majorHAnsi" w:hAnsiTheme="majorHAnsi" w:cstheme="majorHAnsi"/>
        </w:rPr>
        <w:t xml:space="preserve"> e</w:t>
      </w:r>
      <w:r w:rsidRPr="00DC205C">
        <w:rPr>
          <w:rFonts w:asciiTheme="majorHAnsi" w:hAnsiTheme="majorHAnsi" w:cstheme="majorHAnsi"/>
        </w:rPr>
        <w:t xml:space="preserve"> condividendone </w:t>
      </w:r>
      <w:r w:rsidR="00A34B98" w:rsidRPr="00DC205C">
        <w:rPr>
          <w:rFonts w:asciiTheme="majorHAnsi" w:hAnsiTheme="majorHAnsi" w:cstheme="majorHAnsi"/>
        </w:rPr>
        <w:t xml:space="preserve">impostazione e contenuti segnaliamo di seguito </w:t>
      </w:r>
      <w:r w:rsidR="008E27C4" w:rsidRPr="00DC205C">
        <w:rPr>
          <w:rFonts w:asciiTheme="majorHAnsi" w:hAnsiTheme="majorHAnsi" w:cstheme="majorHAnsi"/>
        </w:rPr>
        <w:t>alcune ulteriori indicazioni</w:t>
      </w:r>
      <w:r w:rsidR="001C3A1A" w:rsidRPr="00DC205C">
        <w:rPr>
          <w:rFonts w:asciiTheme="majorHAnsi" w:hAnsiTheme="majorHAnsi" w:cstheme="majorHAnsi"/>
        </w:rPr>
        <w:t xml:space="preserve"> ovvero sottolineiamo, rafforzandoli, spunti di </w:t>
      </w:r>
      <w:r w:rsidR="0026313C" w:rsidRPr="00DC205C">
        <w:rPr>
          <w:rFonts w:asciiTheme="majorHAnsi" w:hAnsiTheme="majorHAnsi" w:cstheme="majorHAnsi"/>
        </w:rPr>
        <w:t>comune visione.</w:t>
      </w:r>
    </w:p>
    <w:p w14:paraId="31EEE61F"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34F76F07" w14:textId="231C7609"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r w:rsidRPr="00DC205C">
        <w:rPr>
          <w:rFonts w:asciiTheme="majorHAnsi" w:hAnsiTheme="majorHAnsi" w:cstheme="majorHAnsi"/>
        </w:rPr>
        <w:t>Si ringrazia per l’attenzione.</w:t>
      </w:r>
    </w:p>
    <w:p w14:paraId="1193ECA6" w14:textId="5042A905" w:rsidR="00904C59" w:rsidRDefault="00DC205C" w:rsidP="00DC205C">
      <w:pPr>
        <w:tabs>
          <w:tab w:val="left" w:pos="1200"/>
        </w:tabs>
        <w:spacing w:before="100" w:beforeAutospacing="1" w:after="100" w:afterAutospacing="1" w:line="276" w:lineRule="auto"/>
        <w:ind w:left="-284" w:right="-284"/>
        <w:jc w:val="both"/>
        <w:rPr>
          <w:rFonts w:asciiTheme="majorHAnsi" w:hAnsiTheme="majorHAnsi" w:cstheme="majorHAnsi"/>
        </w:rPr>
      </w:pPr>
      <w:r>
        <w:rPr>
          <w:rFonts w:asciiTheme="majorHAnsi" w:hAnsiTheme="majorHAnsi" w:cstheme="majorHAnsi"/>
        </w:rPr>
        <w:tab/>
      </w:r>
    </w:p>
    <w:p w14:paraId="497D3B73" w14:textId="77777777" w:rsidR="00DC205C" w:rsidRDefault="00DC205C" w:rsidP="00DC205C">
      <w:pPr>
        <w:tabs>
          <w:tab w:val="left" w:pos="1200"/>
        </w:tabs>
        <w:spacing w:before="100" w:beforeAutospacing="1" w:after="100" w:afterAutospacing="1" w:line="276" w:lineRule="auto"/>
        <w:ind w:left="-284" w:right="-284"/>
        <w:jc w:val="both"/>
        <w:rPr>
          <w:rFonts w:asciiTheme="majorHAnsi" w:hAnsiTheme="majorHAnsi" w:cstheme="majorHAnsi"/>
        </w:rPr>
      </w:pPr>
    </w:p>
    <w:p w14:paraId="17776591" w14:textId="77777777" w:rsidR="00DC205C" w:rsidRPr="00DC205C" w:rsidRDefault="00DC205C" w:rsidP="00DC205C">
      <w:pPr>
        <w:tabs>
          <w:tab w:val="left" w:pos="1200"/>
        </w:tabs>
        <w:spacing w:before="100" w:beforeAutospacing="1" w:after="100" w:afterAutospacing="1" w:line="276" w:lineRule="auto"/>
        <w:ind w:left="-284" w:right="-284"/>
        <w:jc w:val="both"/>
        <w:rPr>
          <w:rFonts w:asciiTheme="majorHAnsi" w:hAnsiTheme="majorHAnsi" w:cstheme="majorHAnsi"/>
        </w:rPr>
      </w:pPr>
    </w:p>
    <w:p w14:paraId="254DB770"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27148077" w14:textId="77777777" w:rsidR="00904C59" w:rsidRPr="00DC205C" w:rsidRDefault="00904C59" w:rsidP="00DC205C">
      <w:pPr>
        <w:tabs>
          <w:tab w:val="left" w:pos="2985"/>
        </w:tabs>
        <w:spacing w:before="100" w:beforeAutospacing="1" w:after="100" w:afterAutospacing="1" w:line="276" w:lineRule="auto"/>
        <w:ind w:left="-284" w:right="-284"/>
        <w:jc w:val="both"/>
        <w:rPr>
          <w:rFonts w:asciiTheme="majorHAnsi" w:hAnsiTheme="majorHAnsi" w:cstheme="majorHAnsi"/>
        </w:rPr>
      </w:pPr>
    </w:p>
    <w:p w14:paraId="58485A2F" w14:textId="019AB4BE" w:rsidR="00A65AEC" w:rsidRPr="00DC205C" w:rsidRDefault="00085F9B" w:rsidP="00DC205C">
      <w:pPr>
        <w:tabs>
          <w:tab w:val="left" w:pos="2985"/>
        </w:tabs>
        <w:spacing w:before="100" w:beforeAutospacing="1" w:after="100" w:afterAutospacing="1" w:line="276" w:lineRule="auto"/>
        <w:ind w:left="-284" w:right="-284"/>
        <w:jc w:val="both"/>
        <w:rPr>
          <w:rFonts w:asciiTheme="majorHAnsi" w:eastAsia="Times New Roman" w:hAnsiTheme="majorHAnsi" w:cstheme="majorHAnsi"/>
          <w:b/>
          <w:bCs/>
          <w:color w:val="C0504D" w:themeColor="accent2"/>
        </w:rPr>
      </w:pPr>
      <w:r w:rsidRPr="00DC205C">
        <w:rPr>
          <w:rFonts w:asciiTheme="majorHAnsi" w:eastAsia="Times New Roman" w:hAnsiTheme="majorHAnsi" w:cstheme="majorHAnsi"/>
          <w:b/>
          <w:bCs/>
          <w:color w:val="C0504D" w:themeColor="accent2"/>
        </w:rPr>
        <w:lastRenderedPageBreak/>
        <w:t>ROTTE COMMERCIALI</w:t>
      </w:r>
    </w:p>
    <w:p w14:paraId="16688B45" w14:textId="42CD334A" w:rsidR="0026313C" w:rsidRPr="00DC205C" w:rsidRDefault="0026313C" w:rsidP="00DC205C">
      <w:pPr>
        <w:pStyle w:val="Paragrafoelenco"/>
        <w:numPr>
          <w:ilvl w:val="0"/>
          <w:numId w:val="15"/>
        </w:numPr>
        <w:spacing w:line="276" w:lineRule="auto"/>
        <w:ind w:left="-284" w:right="-284"/>
        <w:rPr>
          <w:rFonts w:asciiTheme="majorHAnsi" w:hAnsiTheme="majorHAnsi" w:cstheme="majorHAnsi"/>
          <w:color w:val="1F497D" w:themeColor="text2"/>
          <w:sz w:val="24"/>
          <w:szCs w:val="24"/>
        </w:rPr>
      </w:pPr>
      <w:r w:rsidRPr="00DC205C">
        <w:rPr>
          <w:rFonts w:asciiTheme="majorHAnsi" w:hAnsiTheme="majorHAnsi" w:cstheme="majorHAnsi"/>
          <w:b/>
          <w:bCs/>
          <w:color w:val="1F497D" w:themeColor="text2"/>
          <w:sz w:val="24"/>
          <w:szCs w:val="24"/>
        </w:rPr>
        <w:t>Le autostrade del mare</w:t>
      </w:r>
    </w:p>
    <w:p w14:paraId="43B39621" w14:textId="77777777" w:rsidR="0026313C" w:rsidRPr="00DC205C" w:rsidRDefault="0026313C" w:rsidP="00DC205C">
      <w:pPr>
        <w:pStyle w:val="Nessunaspaziatura"/>
        <w:spacing w:line="276" w:lineRule="auto"/>
        <w:ind w:left="-284" w:right="-284"/>
        <w:jc w:val="both"/>
        <w:rPr>
          <w:rFonts w:asciiTheme="majorHAnsi" w:hAnsiTheme="majorHAnsi" w:cstheme="majorHAnsi"/>
          <w:b/>
          <w:bCs/>
          <w:color w:val="auto"/>
          <w:sz w:val="24"/>
          <w:szCs w:val="24"/>
        </w:rPr>
      </w:pPr>
      <w:r w:rsidRPr="00DC205C">
        <w:rPr>
          <w:rFonts w:asciiTheme="majorHAnsi" w:hAnsiTheme="majorHAnsi" w:cstheme="majorHAnsi"/>
          <w:b/>
          <w:bCs/>
          <w:color w:val="auto"/>
          <w:sz w:val="24"/>
          <w:szCs w:val="24"/>
        </w:rPr>
        <w:t>Proposta:</w:t>
      </w:r>
    </w:p>
    <w:p w14:paraId="5B935571" w14:textId="718B4873" w:rsidR="0026313C" w:rsidRPr="00DC205C" w:rsidRDefault="0026313C" w:rsidP="00DC205C">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 xml:space="preserve">Rendere definitivamente strutturali con costante finanziamento, e compatibili con il diritto </w:t>
      </w:r>
      <w:proofErr w:type="spellStart"/>
      <w:r w:rsidRPr="00DC205C">
        <w:rPr>
          <w:rFonts w:asciiTheme="majorHAnsi" w:hAnsiTheme="majorHAnsi" w:cstheme="majorHAnsi"/>
          <w:color w:val="auto"/>
          <w:sz w:val="24"/>
          <w:szCs w:val="24"/>
        </w:rPr>
        <w:t>unionale</w:t>
      </w:r>
      <w:proofErr w:type="spellEnd"/>
      <w:r w:rsidRPr="00DC205C">
        <w:rPr>
          <w:rFonts w:asciiTheme="majorHAnsi" w:hAnsiTheme="majorHAnsi" w:cstheme="majorHAnsi"/>
          <w:color w:val="auto"/>
          <w:sz w:val="24"/>
          <w:szCs w:val="24"/>
        </w:rPr>
        <w:t xml:space="preserve">, il Sea </w:t>
      </w:r>
      <w:proofErr w:type="spellStart"/>
      <w:r w:rsidRPr="00DC205C">
        <w:rPr>
          <w:rFonts w:asciiTheme="majorHAnsi" w:hAnsiTheme="majorHAnsi" w:cstheme="majorHAnsi"/>
          <w:color w:val="auto"/>
          <w:sz w:val="24"/>
          <w:szCs w:val="24"/>
        </w:rPr>
        <w:t>Modal</w:t>
      </w:r>
      <w:proofErr w:type="spellEnd"/>
      <w:r w:rsidRPr="00DC205C">
        <w:rPr>
          <w:rFonts w:asciiTheme="majorHAnsi" w:hAnsiTheme="majorHAnsi" w:cstheme="majorHAnsi"/>
          <w:color w:val="auto"/>
          <w:sz w:val="24"/>
          <w:szCs w:val="24"/>
        </w:rPr>
        <w:t xml:space="preserve"> Shift (in continuità con il precedente </w:t>
      </w:r>
      <w:proofErr w:type="spellStart"/>
      <w:r w:rsidRPr="00DC205C">
        <w:rPr>
          <w:rFonts w:asciiTheme="majorHAnsi" w:hAnsiTheme="majorHAnsi" w:cstheme="majorHAnsi"/>
          <w:color w:val="auto"/>
          <w:sz w:val="24"/>
          <w:szCs w:val="24"/>
        </w:rPr>
        <w:t>Marebonus</w:t>
      </w:r>
      <w:proofErr w:type="spellEnd"/>
      <w:r w:rsidRPr="00DC205C">
        <w:rPr>
          <w:rFonts w:asciiTheme="majorHAnsi" w:hAnsiTheme="majorHAnsi" w:cstheme="majorHAnsi"/>
          <w:color w:val="auto"/>
          <w:sz w:val="24"/>
          <w:szCs w:val="24"/>
        </w:rPr>
        <w:t xml:space="preserve">) e </w:t>
      </w:r>
      <w:proofErr w:type="spellStart"/>
      <w:r w:rsidRPr="00DC205C">
        <w:rPr>
          <w:rFonts w:asciiTheme="majorHAnsi" w:hAnsiTheme="majorHAnsi" w:cstheme="majorHAnsi"/>
          <w:color w:val="auto"/>
          <w:sz w:val="24"/>
          <w:szCs w:val="24"/>
        </w:rPr>
        <w:t>Ferrobonus</w:t>
      </w:r>
      <w:proofErr w:type="spellEnd"/>
      <w:r w:rsidRPr="00DC205C">
        <w:rPr>
          <w:rFonts w:asciiTheme="majorHAnsi" w:hAnsiTheme="majorHAnsi" w:cstheme="majorHAnsi"/>
          <w:color w:val="auto"/>
          <w:sz w:val="24"/>
          <w:szCs w:val="24"/>
        </w:rPr>
        <w:t>, le cui basi normative sono contenute nelle previsioni normative di cui all</w:t>
      </w:r>
      <w:r w:rsidR="00904C59" w:rsidRPr="00DC205C">
        <w:rPr>
          <w:rFonts w:asciiTheme="majorHAnsi" w:hAnsiTheme="majorHAnsi" w:cstheme="majorHAnsi"/>
          <w:color w:val="auto"/>
          <w:sz w:val="24"/>
          <w:szCs w:val="24"/>
        </w:rPr>
        <w:t>’</w:t>
      </w:r>
      <w:r w:rsidRPr="00DC205C">
        <w:rPr>
          <w:rFonts w:asciiTheme="majorHAnsi" w:hAnsiTheme="majorHAnsi" w:cstheme="majorHAnsi"/>
          <w:color w:val="auto"/>
          <w:sz w:val="24"/>
          <w:szCs w:val="24"/>
        </w:rPr>
        <w:t>articolo 1, commi 648 e 649 della legge 28 dicembre 2015, n. 208 in termini di aiuto di Stato per incentivare l</w:t>
      </w:r>
      <w:r w:rsidR="00904C59" w:rsidRPr="00DC205C">
        <w:rPr>
          <w:rFonts w:asciiTheme="majorHAnsi" w:hAnsiTheme="majorHAnsi" w:cstheme="majorHAnsi"/>
          <w:color w:val="auto"/>
          <w:sz w:val="24"/>
          <w:szCs w:val="24"/>
        </w:rPr>
        <w:t>’</w:t>
      </w:r>
      <w:r w:rsidRPr="00DC205C">
        <w:rPr>
          <w:rFonts w:asciiTheme="majorHAnsi" w:hAnsiTheme="majorHAnsi" w:cstheme="majorHAnsi"/>
          <w:color w:val="auto"/>
          <w:sz w:val="24"/>
          <w:szCs w:val="24"/>
        </w:rPr>
        <w:t>utilizzo del trasporto intermodale ferrovia-mare e strada-mare.</w:t>
      </w:r>
    </w:p>
    <w:p w14:paraId="76D71BF3" w14:textId="77777777" w:rsidR="000A2222" w:rsidRPr="00DC205C" w:rsidRDefault="000A2222" w:rsidP="00DC205C">
      <w:pPr>
        <w:pStyle w:val="Nessunaspaziatura"/>
        <w:spacing w:line="276" w:lineRule="auto"/>
        <w:ind w:left="-284" w:right="-284"/>
        <w:jc w:val="both"/>
        <w:rPr>
          <w:rFonts w:asciiTheme="majorHAnsi" w:hAnsiTheme="majorHAnsi" w:cstheme="majorHAnsi"/>
          <w:color w:val="auto"/>
          <w:sz w:val="24"/>
          <w:szCs w:val="24"/>
        </w:rPr>
      </w:pPr>
    </w:p>
    <w:p w14:paraId="289B99E0" w14:textId="30C71BE5" w:rsidR="000A2222" w:rsidRPr="00DC205C" w:rsidRDefault="000A2222" w:rsidP="00DC205C">
      <w:pPr>
        <w:pStyle w:val="Nessunaspaziatura"/>
        <w:numPr>
          <w:ilvl w:val="0"/>
          <w:numId w:val="14"/>
        </w:numPr>
        <w:spacing w:line="276" w:lineRule="auto"/>
        <w:ind w:left="-284" w:right="-284"/>
        <w:jc w:val="both"/>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Le misure fiscali e di aiuto al settore</w:t>
      </w:r>
    </w:p>
    <w:p w14:paraId="746AF6C5" w14:textId="77777777" w:rsidR="000A2222" w:rsidRPr="00DC205C" w:rsidRDefault="000A2222" w:rsidP="00DC205C">
      <w:pPr>
        <w:pStyle w:val="Nessunaspaziatura"/>
        <w:spacing w:line="276" w:lineRule="auto"/>
        <w:ind w:left="-284" w:right="-284"/>
        <w:jc w:val="both"/>
        <w:rPr>
          <w:rFonts w:asciiTheme="majorHAnsi" w:hAnsiTheme="majorHAnsi" w:cstheme="majorHAnsi"/>
          <w:b/>
          <w:bCs/>
          <w:color w:val="auto"/>
          <w:sz w:val="24"/>
          <w:szCs w:val="24"/>
        </w:rPr>
      </w:pPr>
    </w:p>
    <w:p w14:paraId="5634BB20" w14:textId="2FD820F5" w:rsidR="000A2222" w:rsidRPr="00DC205C" w:rsidRDefault="00DC205C" w:rsidP="00DC205C">
      <w:pPr>
        <w:pStyle w:val="Nessunaspaziatura"/>
        <w:spacing w:line="276" w:lineRule="auto"/>
        <w:ind w:left="-284" w:right="-284"/>
        <w:jc w:val="both"/>
        <w:rPr>
          <w:rFonts w:asciiTheme="majorHAnsi" w:hAnsiTheme="majorHAnsi" w:cstheme="majorHAnsi"/>
          <w:color w:val="auto"/>
          <w:sz w:val="24"/>
          <w:szCs w:val="24"/>
        </w:rPr>
      </w:pPr>
      <w:r>
        <w:rPr>
          <w:rFonts w:asciiTheme="majorHAnsi" w:hAnsiTheme="majorHAnsi" w:cstheme="majorHAnsi"/>
          <w:color w:val="auto"/>
          <w:sz w:val="24"/>
          <w:szCs w:val="24"/>
        </w:rPr>
        <w:t>L</w:t>
      </w:r>
      <w:r w:rsidR="000A2222" w:rsidRPr="00DC205C">
        <w:rPr>
          <w:rFonts w:asciiTheme="majorHAnsi" w:hAnsiTheme="majorHAnsi" w:cstheme="majorHAnsi"/>
          <w:color w:val="auto"/>
          <w:sz w:val="24"/>
          <w:szCs w:val="24"/>
        </w:rPr>
        <w:t xml:space="preserve">e misure di aiuto fiscale e contributivo previsti dal Legislatore per le società di armamento, </w:t>
      </w:r>
      <w:r w:rsidR="00AD1B3B" w:rsidRPr="00DC205C">
        <w:rPr>
          <w:rFonts w:asciiTheme="majorHAnsi" w:hAnsiTheme="majorHAnsi" w:cstheme="majorHAnsi"/>
          <w:color w:val="auto"/>
          <w:sz w:val="24"/>
          <w:szCs w:val="24"/>
        </w:rPr>
        <w:t>s</w:t>
      </w:r>
      <w:r>
        <w:rPr>
          <w:rFonts w:asciiTheme="majorHAnsi" w:hAnsiTheme="majorHAnsi" w:cstheme="majorHAnsi"/>
          <w:color w:val="auto"/>
          <w:sz w:val="24"/>
          <w:szCs w:val="24"/>
        </w:rPr>
        <w:t>ono condivise</w:t>
      </w:r>
      <w:r w:rsidR="000A2222" w:rsidRPr="00DC205C">
        <w:rPr>
          <w:rFonts w:asciiTheme="majorHAnsi" w:hAnsiTheme="majorHAnsi" w:cstheme="majorHAnsi"/>
          <w:color w:val="auto"/>
          <w:sz w:val="24"/>
          <w:szCs w:val="24"/>
        </w:rPr>
        <w:t xml:space="preserve"> e quindi da </w:t>
      </w:r>
      <w:r>
        <w:rPr>
          <w:rFonts w:asciiTheme="majorHAnsi" w:hAnsiTheme="majorHAnsi" w:cstheme="majorHAnsi"/>
          <w:color w:val="auto"/>
          <w:sz w:val="24"/>
          <w:szCs w:val="24"/>
        </w:rPr>
        <w:t>rendere strutturali</w:t>
      </w:r>
      <w:r w:rsidR="000A2222" w:rsidRPr="00DC205C">
        <w:rPr>
          <w:rFonts w:asciiTheme="majorHAnsi" w:hAnsiTheme="majorHAnsi" w:cstheme="majorHAnsi"/>
          <w:color w:val="auto"/>
          <w:sz w:val="24"/>
          <w:szCs w:val="24"/>
        </w:rPr>
        <w:t xml:space="preserve"> </w:t>
      </w:r>
      <w:r>
        <w:rPr>
          <w:rFonts w:asciiTheme="majorHAnsi" w:hAnsiTheme="majorHAnsi" w:cstheme="majorHAnsi"/>
          <w:color w:val="auto"/>
          <w:sz w:val="24"/>
          <w:szCs w:val="24"/>
        </w:rPr>
        <w:t>ma</w:t>
      </w:r>
      <w:r w:rsidR="000A2222" w:rsidRPr="00DC205C">
        <w:rPr>
          <w:rFonts w:asciiTheme="majorHAnsi" w:hAnsiTheme="majorHAnsi" w:cstheme="majorHAnsi"/>
          <w:color w:val="auto"/>
          <w:sz w:val="24"/>
          <w:szCs w:val="24"/>
        </w:rPr>
        <w:t xml:space="preserve"> </w:t>
      </w:r>
      <w:proofErr w:type="spellStart"/>
      <w:r>
        <w:rPr>
          <w:rFonts w:asciiTheme="majorHAnsi" w:hAnsiTheme="majorHAnsi" w:cstheme="majorHAnsi"/>
          <w:color w:val="auto"/>
          <w:sz w:val="24"/>
          <w:szCs w:val="24"/>
        </w:rPr>
        <w:t>da</w:t>
      </w:r>
      <w:proofErr w:type="spellEnd"/>
      <w:r>
        <w:rPr>
          <w:rFonts w:asciiTheme="majorHAnsi" w:hAnsiTheme="majorHAnsi" w:cstheme="majorHAnsi"/>
          <w:color w:val="auto"/>
          <w:sz w:val="24"/>
          <w:szCs w:val="24"/>
        </w:rPr>
        <w:t xml:space="preserve"> contestualizzare</w:t>
      </w:r>
      <w:r w:rsidR="000A2222" w:rsidRPr="00DC205C">
        <w:rPr>
          <w:rFonts w:asciiTheme="majorHAnsi" w:hAnsiTheme="majorHAnsi" w:cstheme="majorHAnsi"/>
          <w:color w:val="auto"/>
          <w:sz w:val="24"/>
          <w:szCs w:val="24"/>
        </w:rPr>
        <w:t xml:space="preserve"> al solo perimetro dell’attività strettamente connesse alla navigazione</w:t>
      </w:r>
      <w:r>
        <w:rPr>
          <w:rFonts w:asciiTheme="majorHAnsi" w:hAnsiTheme="majorHAnsi" w:cstheme="majorHAnsi"/>
          <w:color w:val="auto"/>
          <w:sz w:val="24"/>
          <w:szCs w:val="24"/>
        </w:rPr>
        <w:t>:</w:t>
      </w:r>
      <w:r w:rsidR="000A2222" w:rsidRPr="00DC205C">
        <w:rPr>
          <w:rFonts w:asciiTheme="majorHAnsi" w:hAnsiTheme="majorHAnsi" w:cstheme="majorHAnsi"/>
          <w:color w:val="auto"/>
          <w:sz w:val="24"/>
          <w:szCs w:val="24"/>
        </w:rPr>
        <w:t xml:space="preserve"> </w:t>
      </w:r>
      <w:r>
        <w:rPr>
          <w:rFonts w:asciiTheme="majorHAnsi" w:hAnsiTheme="majorHAnsi" w:cstheme="majorHAnsi"/>
          <w:color w:val="auto"/>
          <w:sz w:val="24"/>
          <w:szCs w:val="24"/>
        </w:rPr>
        <w:t>pertanto non</w:t>
      </w:r>
      <w:r w:rsidR="000A2222" w:rsidRPr="00DC205C">
        <w:rPr>
          <w:rFonts w:asciiTheme="majorHAnsi" w:hAnsiTheme="majorHAnsi" w:cstheme="majorHAnsi"/>
          <w:color w:val="auto"/>
          <w:sz w:val="24"/>
          <w:szCs w:val="24"/>
        </w:rPr>
        <w:t xml:space="preserve"> </w:t>
      </w:r>
      <w:r>
        <w:rPr>
          <w:rFonts w:asciiTheme="majorHAnsi" w:hAnsiTheme="majorHAnsi" w:cstheme="majorHAnsi"/>
          <w:color w:val="auto"/>
          <w:sz w:val="24"/>
          <w:szCs w:val="24"/>
        </w:rPr>
        <w:t>dovrebbero</w:t>
      </w:r>
      <w:r w:rsidR="000A2222" w:rsidRPr="00DC205C">
        <w:rPr>
          <w:rFonts w:asciiTheme="majorHAnsi" w:hAnsiTheme="majorHAnsi" w:cstheme="majorHAnsi"/>
          <w:color w:val="auto"/>
          <w:sz w:val="24"/>
          <w:szCs w:val="24"/>
        </w:rPr>
        <w:t xml:space="preserve"> essere estese alle attività accessorie tra cui quelle portuali. </w:t>
      </w:r>
    </w:p>
    <w:p w14:paraId="3FFB9C1B" w14:textId="036C25CD" w:rsidR="000A2222" w:rsidRPr="00DC205C" w:rsidRDefault="000A2222" w:rsidP="00DC205C">
      <w:pPr>
        <w:pStyle w:val="Nessunaspaziatura"/>
        <w:spacing w:line="276" w:lineRule="auto"/>
        <w:ind w:left="-284" w:right="-284"/>
        <w:jc w:val="both"/>
        <w:rPr>
          <w:rFonts w:asciiTheme="majorHAnsi" w:hAnsiTheme="majorHAnsi" w:cstheme="majorHAnsi"/>
          <w:color w:val="auto"/>
          <w:kern w:val="0"/>
          <w:sz w:val="24"/>
          <w:szCs w:val="24"/>
        </w:rPr>
      </w:pPr>
      <w:r w:rsidRPr="00DC205C">
        <w:rPr>
          <w:rFonts w:asciiTheme="majorHAnsi" w:hAnsiTheme="majorHAnsi" w:cstheme="majorHAnsi"/>
          <w:color w:val="auto"/>
          <w:kern w:val="0"/>
          <w:sz w:val="24"/>
          <w:szCs w:val="24"/>
        </w:rPr>
        <w:t xml:space="preserve">Da un punto di vista prettamente giuridico, le normative </w:t>
      </w:r>
      <w:r w:rsidRPr="00DC205C">
        <w:rPr>
          <w:rFonts w:asciiTheme="majorHAnsi" w:hAnsiTheme="majorHAnsi" w:cstheme="majorHAnsi"/>
          <w:i/>
          <w:iCs/>
          <w:color w:val="auto"/>
          <w:kern w:val="0"/>
          <w:sz w:val="24"/>
          <w:szCs w:val="24"/>
        </w:rPr>
        <w:t>Registro Internazionale</w:t>
      </w:r>
      <w:r w:rsidRPr="00DC205C">
        <w:rPr>
          <w:rFonts w:asciiTheme="majorHAnsi" w:hAnsiTheme="majorHAnsi" w:cstheme="majorHAnsi"/>
          <w:color w:val="auto"/>
          <w:kern w:val="0"/>
          <w:sz w:val="24"/>
          <w:szCs w:val="24"/>
        </w:rPr>
        <w:t xml:space="preserve"> e </w:t>
      </w:r>
      <w:proofErr w:type="spellStart"/>
      <w:r w:rsidRPr="00DC205C">
        <w:rPr>
          <w:rFonts w:asciiTheme="majorHAnsi" w:hAnsiTheme="majorHAnsi" w:cstheme="majorHAnsi"/>
          <w:i/>
          <w:iCs/>
          <w:color w:val="auto"/>
          <w:kern w:val="0"/>
          <w:sz w:val="24"/>
          <w:szCs w:val="24"/>
        </w:rPr>
        <w:t>Tonnage</w:t>
      </w:r>
      <w:proofErr w:type="spellEnd"/>
      <w:r w:rsidRPr="00DC205C">
        <w:rPr>
          <w:rFonts w:asciiTheme="majorHAnsi" w:hAnsiTheme="majorHAnsi" w:cstheme="majorHAnsi"/>
          <w:i/>
          <w:iCs/>
          <w:color w:val="auto"/>
          <w:kern w:val="0"/>
          <w:sz w:val="24"/>
          <w:szCs w:val="24"/>
        </w:rPr>
        <w:t xml:space="preserve"> Tax</w:t>
      </w:r>
      <w:r w:rsidRPr="00DC205C">
        <w:rPr>
          <w:rFonts w:asciiTheme="majorHAnsi" w:hAnsiTheme="majorHAnsi" w:cstheme="majorHAnsi"/>
          <w:color w:val="auto"/>
          <w:kern w:val="0"/>
          <w:sz w:val="24"/>
          <w:szCs w:val="24"/>
        </w:rPr>
        <w:t>, sono aiuti di Stato autorizzati dalla Commissione europea, quindi in virtù della regola della condizionalità gli stessi devono necessariamente andare a beneficio esclusivamente della principale attività svolta, contestualizzata alla navigazione, e non certo di attività collaterali, integrate, accessorie, di sicuro ultronee.</w:t>
      </w:r>
    </w:p>
    <w:p w14:paraId="32A09DB6" w14:textId="50540A9C" w:rsidR="000A2222" w:rsidRPr="00DC205C" w:rsidRDefault="000A2222" w:rsidP="00DC205C">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 xml:space="preserve">Risulterebbe pertanto evidente come tali estensioni </w:t>
      </w:r>
      <w:r w:rsidR="00D77FC7" w:rsidRPr="00DC205C">
        <w:rPr>
          <w:rFonts w:asciiTheme="majorHAnsi" w:hAnsiTheme="majorHAnsi" w:cstheme="majorHAnsi"/>
          <w:color w:val="auto"/>
          <w:sz w:val="24"/>
          <w:szCs w:val="24"/>
        </w:rPr>
        <w:t>possano</w:t>
      </w:r>
      <w:r w:rsidRPr="00DC205C">
        <w:rPr>
          <w:rFonts w:asciiTheme="majorHAnsi" w:hAnsiTheme="majorHAnsi" w:cstheme="majorHAnsi"/>
          <w:color w:val="auto"/>
          <w:sz w:val="24"/>
          <w:szCs w:val="24"/>
        </w:rPr>
        <w:t xml:space="preserve">, </w:t>
      </w:r>
      <w:r w:rsidR="00D77FC7" w:rsidRPr="00DC205C">
        <w:rPr>
          <w:rFonts w:asciiTheme="majorHAnsi" w:hAnsiTheme="majorHAnsi" w:cstheme="majorHAnsi"/>
          <w:color w:val="auto"/>
          <w:sz w:val="24"/>
          <w:szCs w:val="24"/>
        </w:rPr>
        <w:t xml:space="preserve">potenzialmente </w:t>
      </w:r>
      <w:r w:rsidR="003D7686" w:rsidRPr="00DC205C">
        <w:rPr>
          <w:rFonts w:asciiTheme="majorHAnsi" w:hAnsiTheme="majorHAnsi" w:cstheme="majorHAnsi"/>
          <w:color w:val="auto"/>
          <w:sz w:val="24"/>
          <w:szCs w:val="24"/>
        </w:rPr>
        <w:t>configurare regimi fiscali differenti a parità di attività a seconda del soggetto che le eserc</w:t>
      </w:r>
      <w:r w:rsidR="00F10CD0" w:rsidRPr="00DC205C">
        <w:rPr>
          <w:rFonts w:asciiTheme="majorHAnsi" w:hAnsiTheme="majorHAnsi" w:cstheme="majorHAnsi"/>
          <w:color w:val="auto"/>
          <w:sz w:val="24"/>
          <w:szCs w:val="24"/>
        </w:rPr>
        <w:t xml:space="preserve">ita </w:t>
      </w:r>
      <w:r w:rsidR="005C2C55" w:rsidRPr="00DC205C">
        <w:rPr>
          <w:rFonts w:asciiTheme="majorHAnsi" w:hAnsiTheme="majorHAnsi" w:cstheme="majorHAnsi"/>
          <w:color w:val="auto"/>
          <w:sz w:val="24"/>
          <w:szCs w:val="24"/>
        </w:rPr>
        <w:t>producendo quindi condizioni di</w:t>
      </w:r>
      <w:r w:rsidRPr="00DC205C">
        <w:rPr>
          <w:rFonts w:asciiTheme="majorHAnsi" w:hAnsiTheme="majorHAnsi" w:cstheme="majorHAnsi"/>
          <w:color w:val="auto"/>
          <w:sz w:val="24"/>
          <w:szCs w:val="24"/>
        </w:rPr>
        <w:t xml:space="preserve"> vantaggio concorrenziale, in termini fiscali e quindi economici, </w:t>
      </w:r>
      <w:r w:rsidR="005C2C55" w:rsidRPr="00DC205C">
        <w:rPr>
          <w:rFonts w:asciiTheme="majorHAnsi" w:hAnsiTheme="majorHAnsi" w:cstheme="majorHAnsi"/>
          <w:color w:val="auto"/>
          <w:sz w:val="24"/>
          <w:szCs w:val="24"/>
        </w:rPr>
        <w:t>a favore del soggetto logistico armatoriale rispetto a quello solo logistico</w:t>
      </w:r>
      <w:r w:rsidRPr="00DC205C">
        <w:rPr>
          <w:rFonts w:asciiTheme="majorHAnsi" w:hAnsiTheme="majorHAnsi" w:cstheme="majorHAnsi"/>
          <w:color w:val="auto"/>
          <w:sz w:val="24"/>
          <w:szCs w:val="24"/>
        </w:rPr>
        <w:t>.</w:t>
      </w:r>
    </w:p>
    <w:p w14:paraId="56CF2A27" w14:textId="744312C2" w:rsidR="000A2222" w:rsidRPr="00DC205C" w:rsidRDefault="005C2C55" w:rsidP="00DC205C">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Si renderebbe pertanto</w:t>
      </w:r>
      <w:r w:rsidR="00565417" w:rsidRPr="00DC205C">
        <w:rPr>
          <w:rFonts w:asciiTheme="majorHAnsi" w:hAnsiTheme="majorHAnsi" w:cstheme="majorHAnsi"/>
          <w:color w:val="auto"/>
          <w:sz w:val="24"/>
          <w:szCs w:val="24"/>
        </w:rPr>
        <w:t xml:space="preserve"> opportuno </w:t>
      </w:r>
      <w:r w:rsidR="00AD1B3B" w:rsidRPr="00DC205C">
        <w:rPr>
          <w:rFonts w:asciiTheme="majorHAnsi" w:hAnsiTheme="majorHAnsi" w:cstheme="majorHAnsi"/>
          <w:color w:val="auto"/>
          <w:sz w:val="24"/>
          <w:szCs w:val="24"/>
        </w:rPr>
        <w:t>rivedere gli attuali impianti normativi finalizzando</w:t>
      </w:r>
      <w:r w:rsidR="000A2222" w:rsidRPr="00DC205C">
        <w:rPr>
          <w:rFonts w:asciiTheme="majorHAnsi" w:hAnsiTheme="majorHAnsi" w:cstheme="majorHAnsi"/>
          <w:color w:val="auto"/>
          <w:sz w:val="24"/>
          <w:szCs w:val="24"/>
        </w:rPr>
        <w:t xml:space="preserve"> i benefici fiscali e contributivi dell’aiuto di Stato </w:t>
      </w:r>
      <w:r w:rsidR="000A2222" w:rsidRPr="00DC205C">
        <w:rPr>
          <w:rFonts w:asciiTheme="majorHAnsi" w:hAnsiTheme="majorHAnsi" w:cstheme="majorHAnsi"/>
          <w:i/>
          <w:iCs/>
          <w:color w:val="auto"/>
          <w:sz w:val="24"/>
          <w:szCs w:val="24"/>
        </w:rPr>
        <w:t>Registro Internazionale</w:t>
      </w:r>
      <w:r w:rsidR="000A2222" w:rsidRPr="00DC205C">
        <w:rPr>
          <w:rFonts w:asciiTheme="majorHAnsi" w:hAnsiTheme="majorHAnsi" w:cstheme="majorHAnsi"/>
          <w:color w:val="auto"/>
          <w:sz w:val="24"/>
          <w:szCs w:val="24"/>
        </w:rPr>
        <w:t xml:space="preserve"> e della </w:t>
      </w:r>
      <w:proofErr w:type="spellStart"/>
      <w:r w:rsidR="000A2222" w:rsidRPr="00DC205C">
        <w:rPr>
          <w:rFonts w:asciiTheme="majorHAnsi" w:hAnsiTheme="majorHAnsi" w:cstheme="majorHAnsi"/>
          <w:i/>
          <w:iCs/>
          <w:color w:val="auto"/>
          <w:sz w:val="24"/>
          <w:szCs w:val="24"/>
        </w:rPr>
        <w:t>Tonnage</w:t>
      </w:r>
      <w:proofErr w:type="spellEnd"/>
      <w:r w:rsidR="000A2222" w:rsidRPr="00DC205C">
        <w:rPr>
          <w:rFonts w:asciiTheme="majorHAnsi" w:hAnsiTheme="majorHAnsi" w:cstheme="majorHAnsi"/>
          <w:i/>
          <w:iCs/>
          <w:color w:val="auto"/>
          <w:sz w:val="24"/>
          <w:szCs w:val="24"/>
        </w:rPr>
        <w:t xml:space="preserve"> Tax, </w:t>
      </w:r>
      <w:r w:rsidR="0063082E" w:rsidRPr="00DC205C">
        <w:rPr>
          <w:rFonts w:asciiTheme="majorHAnsi" w:hAnsiTheme="majorHAnsi" w:cstheme="majorHAnsi"/>
          <w:color w:val="auto"/>
          <w:sz w:val="24"/>
          <w:szCs w:val="24"/>
        </w:rPr>
        <w:t xml:space="preserve">alle sole attività </w:t>
      </w:r>
      <w:r w:rsidR="00565417" w:rsidRPr="00DC205C">
        <w:rPr>
          <w:rFonts w:asciiTheme="majorHAnsi" w:hAnsiTheme="majorHAnsi" w:cstheme="majorHAnsi"/>
          <w:color w:val="auto"/>
          <w:sz w:val="24"/>
          <w:szCs w:val="24"/>
        </w:rPr>
        <w:t xml:space="preserve">tipicamente afferenti </w:t>
      </w:r>
      <w:proofErr w:type="gramStart"/>
      <w:r w:rsidR="00565417" w:rsidRPr="00DC205C">
        <w:rPr>
          <w:rFonts w:asciiTheme="majorHAnsi" w:hAnsiTheme="majorHAnsi" w:cstheme="majorHAnsi"/>
          <w:color w:val="auto"/>
          <w:sz w:val="24"/>
          <w:szCs w:val="24"/>
        </w:rPr>
        <w:t>il</w:t>
      </w:r>
      <w:proofErr w:type="gramEnd"/>
      <w:r w:rsidR="00565417" w:rsidRPr="00DC205C">
        <w:rPr>
          <w:rFonts w:asciiTheme="majorHAnsi" w:hAnsiTheme="majorHAnsi" w:cstheme="majorHAnsi"/>
          <w:color w:val="auto"/>
          <w:sz w:val="24"/>
          <w:szCs w:val="24"/>
        </w:rPr>
        <w:t xml:space="preserve"> trasporto marittimo</w:t>
      </w:r>
      <w:r w:rsidR="0063082E" w:rsidRPr="00DC205C">
        <w:rPr>
          <w:rFonts w:asciiTheme="majorHAnsi" w:hAnsiTheme="majorHAnsi" w:cstheme="majorHAnsi"/>
          <w:color w:val="auto"/>
          <w:sz w:val="24"/>
          <w:szCs w:val="24"/>
        </w:rPr>
        <w:t xml:space="preserve">, al netto dell’impianto </w:t>
      </w:r>
      <w:r w:rsidR="004B5CF2" w:rsidRPr="00DC205C">
        <w:rPr>
          <w:rFonts w:asciiTheme="majorHAnsi" w:hAnsiTheme="majorHAnsi" w:cstheme="majorHAnsi"/>
          <w:color w:val="auto"/>
          <w:sz w:val="24"/>
          <w:szCs w:val="24"/>
        </w:rPr>
        <w:t>per l’esercizio delle attività crocieristiche che condividiamo permanga come attualmente disciplinato</w:t>
      </w:r>
      <w:r w:rsidR="000A2222" w:rsidRPr="00DC205C">
        <w:rPr>
          <w:rFonts w:asciiTheme="majorHAnsi" w:hAnsiTheme="majorHAnsi" w:cstheme="majorHAnsi"/>
          <w:color w:val="auto"/>
          <w:sz w:val="24"/>
          <w:szCs w:val="24"/>
        </w:rPr>
        <w:t xml:space="preserve">. </w:t>
      </w:r>
    </w:p>
    <w:p w14:paraId="12858DBF" w14:textId="77777777" w:rsidR="000A2222" w:rsidRPr="00DC205C" w:rsidRDefault="000A2222" w:rsidP="00DC205C">
      <w:pPr>
        <w:pStyle w:val="Nessunaspaziatura"/>
        <w:spacing w:line="276" w:lineRule="auto"/>
        <w:ind w:left="-284" w:right="-284"/>
        <w:jc w:val="both"/>
        <w:rPr>
          <w:rFonts w:asciiTheme="majorHAnsi" w:hAnsiTheme="majorHAnsi" w:cstheme="majorHAnsi"/>
          <w:color w:val="auto"/>
          <w:sz w:val="24"/>
          <w:szCs w:val="24"/>
        </w:rPr>
      </w:pPr>
    </w:p>
    <w:p w14:paraId="2D056241" w14:textId="76A79C62" w:rsidR="004E5D36" w:rsidRPr="00DC205C" w:rsidRDefault="004E5D36" w:rsidP="00DC205C">
      <w:pPr>
        <w:pStyle w:val="Paragrafoelenco"/>
        <w:numPr>
          <w:ilvl w:val="0"/>
          <w:numId w:val="14"/>
        </w:numPr>
        <w:spacing w:line="276" w:lineRule="auto"/>
        <w:ind w:left="-284" w:right="-284"/>
        <w:jc w:val="both"/>
        <w:outlineLvl w:val="1"/>
        <w:rPr>
          <w:rFonts w:asciiTheme="majorHAnsi" w:eastAsia="Calibri" w:hAnsiTheme="majorHAnsi" w:cstheme="majorHAnsi"/>
          <w:b/>
          <w:bCs/>
          <w:color w:val="1F497D" w:themeColor="text2"/>
          <w:sz w:val="24"/>
          <w:szCs w:val="24"/>
        </w:rPr>
      </w:pPr>
      <w:r w:rsidRPr="00DC205C">
        <w:rPr>
          <w:rFonts w:asciiTheme="majorHAnsi" w:eastAsia="Calibri" w:hAnsiTheme="majorHAnsi" w:cstheme="majorHAnsi"/>
          <w:b/>
          <w:bCs/>
          <w:color w:val="1F497D" w:themeColor="text2"/>
          <w:sz w:val="24"/>
          <w:szCs w:val="24"/>
        </w:rPr>
        <w:t>Esecuzione digitale dei procedimenti amministrativi dell’ambito portuale</w:t>
      </w:r>
    </w:p>
    <w:p w14:paraId="7C2E219B" w14:textId="77777777" w:rsidR="00904C59" w:rsidRPr="00DC205C" w:rsidRDefault="00904C59"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“Art (…) Esecuzione digitale dei procedimenti amministrativi in ambito portuale</w:t>
      </w:r>
    </w:p>
    <w:p w14:paraId="1C7BCEF0" w14:textId="10CC217C" w:rsidR="00904C59" w:rsidRPr="00DC205C" w:rsidRDefault="00904C59" w:rsidP="00DC205C">
      <w:pPr>
        <w:spacing w:before="240"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Il rilascio di autorizzazioni, concessioni, nulla osta, pareri e provvedimenti comunque denominati di cui è titolare l’Autorità di sistema portuale o di cui sono titolari altre amministrazioni per attività da svolgersi in ambito portuale è svolto, su richiesta dell’interessato, attraverso il Port Community system, laddove istituito. I provvedimenti di diniego o accoglimento, nonché le richieste istruttorie eventuali, sono comunicati dall’amministrazione competente attraverso il </w:t>
      </w:r>
      <w:r w:rsidRPr="00DC205C">
        <w:rPr>
          <w:rFonts w:asciiTheme="majorHAnsi" w:eastAsiaTheme="minorHAnsi" w:hAnsiTheme="majorHAnsi" w:cstheme="majorHAnsi"/>
          <w:i/>
          <w:iCs/>
        </w:rPr>
        <w:lastRenderedPageBreak/>
        <w:t>Port Community System, il quale ha valore analogo alla posta elettronica certificata ai fini della legale conoscenza dei documenti.”</w:t>
      </w:r>
    </w:p>
    <w:p w14:paraId="356C186F" w14:textId="0A62843F" w:rsidR="004E5D36" w:rsidRPr="00DC205C" w:rsidRDefault="004E5D36"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Relazione</w:t>
      </w:r>
    </w:p>
    <w:p w14:paraId="0EF223D5" w14:textId="77777777" w:rsidR="004E5D36" w:rsidRPr="00DC205C" w:rsidRDefault="004E5D36"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prevede l’obbligo per le Autorità di sistema portuale di eseguire i procedimenti amministrativi attraverso il </w:t>
      </w:r>
      <w:r w:rsidRPr="00DC205C">
        <w:rPr>
          <w:rFonts w:asciiTheme="majorHAnsi" w:eastAsiaTheme="minorHAnsi" w:hAnsiTheme="majorHAnsi" w:cstheme="majorHAnsi"/>
          <w:i/>
          <w:iCs/>
        </w:rPr>
        <w:t>Port Community system (PCS)</w:t>
      </w:r>
      <w:r w:rsidRPr="00DC205C">
        <w:rPr>
          <w:rFonts w:asciiTheme="majorHAnsi" w:eastAsiaTheme="minorHAnsi" w:hAnsiTheme="majorHAnsi" w:cstheme="majorHAnsi"/>
        </w:rPr>
        <w:t xml:space="preserve"> ossia una piattaforma di interscambio di informazioni e servizi tra gli </w:t>
      </w:r>
      <w:r w:rsidRPr="00DC205C">
        <w:rPr>
          <w:rFonts w:asciiTheme="majorHAnsi" w:eastAsiaTheme="minorHAnsi" w:hAnsiTheme="majorHAnsi" w:cstheme="majorHAnsi"/>
          <w:i/>
          <w:iCs/>
        </w:rPr>
        <w:t>stakeholder</w:t>
      </w:r>
      <w:r w:rsidRPr="00DC205C">
        <w:rPr>
          <w:rFonts w:asciiTheme="majorHAnsi" w:eastAsiaTheme="minorHAnsi" w:hAnsiTheme="majorHAnsi" w:cstheme="majorHAnsi"/>
        </w:rPr>
        <w:t xml:space="preserve"> e le amministrazioni.</w:t>
      </w:r>
    </w:p>
    <w:p w14:paraId="7A555D1F" w14:textId="77777777" w:rsidR="004E5D36" w:rsidRPr="00DC205C" w:rsidRDefault="004E5D36"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Lo standard di interscambio di documenti e documenti deve rispettare le regole di interoperabilità previste dal Regolamento 1056/2020 e deve garantire l’accesso senza discriminazioni nonché l’interoperabilità con le altre amministrazioni pubbliche.</w:t>
      </w:r>
    </w:p>
    <w:p w14:paraId="19DE927C" w14:textId="291EA151" w:rsidR="00085F9B" w:rsidRPr="00DC205C" w:rsidRDefault="004E5D36"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Si prevede infatti che i relativi provvedimenti e richieste istruttorie possano essere trasmesse tramite il Port Community system il cui utilizzo è equiparato alla posta elettronica certificata ai fini della legale conoscenza dei documenti inviati.</w:t>
      </w:r>
    </w:p>
    <w:p w14:paraId="0369362A" w14:textId="77777777" w:rsidR="006D7EA5" w:rsidRPr="00DC205C" w:rsidRDefault="00085F9B" w:rsidP="00DC205C">
      <w:pPr>
        <w:pStyle w:val="Paragrafoelenco"/>
        <w:spacing w:before="100" w:beforeAutospacing="1" w:after="100" w:afterAutospacing="1" w:line="276" w:lineRule="auto"/>
        <w:ind w:left="-284" w:right="-284"/>
        <w:contextualSpacing w:val="0"/>
        <w:jc w:val="both"/>
        <w:rPr>
          <w:rFonts w:asciiTheme="majorHAnsi" w:eastAsia="Times New Roman" w:hAnsiTheme="majorHAnsi" w:cstheme="majorHAnsi"/>
          <w:b/>
          <w:bCs/>
          <w:color w:val="C0504D" w:themeColor="accent2"/>
          <w:sz w:val="24"/>
          <w:szCs w:val="24"/>
        </w:rPr>
      </w:pPr>
      <w:r w:rsidRPr="00DC205C">
        <w:rPr>
          <w:rFonts w:asciiTheme="majorHAnsi" w:eastAsia="Times New Roman" w:hAnsiTheme="majorHAnsi" w:cstheme="majorHAnsi"/>
          <w:b/>
          <w:bCs/>
          <w:color w:val="C0504D" w:themeColor="accent2"/>
          <w:sz w:val="24"/>
          <w:szCs w:val="24"/>
        </w:rPr>
        <w:t>PORTI</w:t>
      </w:r>
    </w:p>
    <w:p w14:paraId="362F8D1D" w14:textId="5238A3C5" w:rsidR="006D7EA5" w:rsidRPr="00DC205C" w:rsidRDefault="006D7EA5" w:rsidP="00DC205C">
      <w:pPr>
        <w:pStyle w:val="Paragrafoelenco"/>
        <w:numPr>
          <w:ilvl w:val="0"/>
          <w:numId w:val="16"/>
        </w:numPr>
        <w:spacing w:before="100" w:beforeAutospacing="1" w:after="100" w:afterAutospacing="1" w:line="276" w:lineRule="auto"/>
        <w:ind w:left="-284" w:right="-284"/>
        <w:contextualSpacing w:val="0"/>
        <w:jc w:val="both"/>
        <w:rPr>
          <w:rFonts w:asciiTheme="majorHAnsi" w:eastAsia="Times New Roman"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Disposizioni in materia di ZLS e ZES</w:t>
      </w:r>
    </w:p>
    <w:p w14:paraId="5832082A" w14:textId="3195F7D2"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Alle Zone logistiche semplificate di cui all’articolo 1, commi 61, 62, 63, 64, 65 e 65-bis, della legge 27 dicembre 2017, n. 205 si applica quanto previsto dall’1, commi da 98 a 108 della legge 208/2015.</w:t>
      </w:r>
    </w:p>
    <w:p w14:paraId="127021A1" w14:textId="22B0CDEA"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Il credito d’imposta di cui all’art. 1 commi da 98 a 108 si applica agli investimenti infrastrutturali in beni reversibili allo Stato realizzati nella Zona Economica Speciale e nella Zona Logistica Semplificata.</w:t>
      </w:r>
    </w:p>
    <w:p w14:paraId="72C6E651" w14:textId="5DFF799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zona franca doganale dei porti inclusi nelle TEN-T, di cui al Regolamento 1315/2013, è estesa a tutti gli interporti localizzati lungo le reti transeuropee di trasporto di cui al Regolamento 1315/2013/UE</w:t>
      </w:r>
    </w:p>
    <w:p w14:paraId="62DD7215" w14:textId="77777777" w:rsidR="006D7EA5" w:rsidRPr="00DC205C" w:rsidRDefault="006D7EA5"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Relazione</w:t>
      </w:r>
    </w:p>
    <w:p w14:paraId="646E7767"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proposta normativa in questione amplia la portata di alcune disposizioni legislative esistenti relative alle Zone logistiche semplificate (ZLS) e alla Zona Economica Speciale (ZES), con un particolare focus sugli incentivi fiscali e l'ampliamento delle zone franche doganali. La proposta si compone di tre punti principali:</w:t>
      </w:r>
    </w:p>
    <w:p w14:paraId="7CE79A35"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Il primo punto specifica che alle Zone logistiche semplificate già definite nella legge del 2017 si applicheranno le disposizioni stabilite negli articoli della legge del 2015. Questo implica che norme precedentemente stabilite per altre realtà verranno estese anche alle ZLS, cercando di uniformare il trattamento normativo e probabilmente di semplificare la gestione amministrativa e legale di queste zone.</w:t>
      </w:r>
    </w:p>
    <w:p w14:paraId="5C13E3C1"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Il secondo punto riguarda l'introduzione o la conferma di un credito d'imposta per gli investimenti infrastrutturali in beni reversibili allo Stato realizzati sia nella Zona Economica Speciale che nella Zona Logistica Semplificata. Questo incentivo fiscale è mirato a stimolare lo sviluppo infrastrutturale in queste aree, rendendo più attrattive le operazioni di investimento e possibilmente spingendo maggiori attività economiche nelle zone in questione. La menzione di "beni reversibili allo Stato" suggerisce una tutela per l'amministrazione pubblica, assicurandosi che gli investimenti restino di utilità pubblica.</w:t>
      </w:r>
    </w:p>
    <w:p w14:paraId="021550BD"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lastRenderedPageBreak/>
        <w:t>Il terzo punto estende la zona franca doganale a tutti gli interporti situati lungo le reti transeuropee di trasporto, come definito nel Regolamento UE 1315/2013. Questa estensione potrebbe avere un impatto significativo sul commercio e la logistica, facilitando le operazioni di importazione ed esportazione, riducendo i costi doganali e migliorando l'efficienza logistica attraverso l'Europa.</w:t>
      </w:r>
    </w:p>
    <w:p w14:paraId="06C70C2D"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proposta normativa, attraverso l'ampliamento e l'applicazione di regole preesistenti alle Zone logistiche semplificate e l'introduzione di incentivi fiscali, mira a rafforzare il tessuto economico delle aree interessate e a incentivare lo sviluppo infrastrutturale. La sua implementazione richiederà un'attenta supervisione per assicurare che gli obiettivi di crescita siano raggiunti e che i benefici siano distribuiti equamente tra tutti gli attori economici coinvolti.</w:t>
      </w:r>
    </w:p>
    <w:p w14:paraId="70893B4B" w14:textId="77777777" w:rsidR="006D7EA5" w:rsidRPr="00DC205C" w:rsidRDefault="006D7EA5" w:rsidP="00DC205C">
      <w:pPr>
        <w:spacing w:line="276" w:lineRule="auto"/>
        <w:ind w:left="-284" w:right="-284"/>
        <w:jc w:val="both"/>
        <w:rPr>
          <w:rFonts w:asciiTheme="majorHAnsi" w:hAnsiTheme="majorHAnsi" w:cstheme="majorHAnsi"/>
        </w:rPr>
      </w:pPr>
    </w:p>
    <w:p w14:paraId="1EA73D40" w14:textId="658892C7" w:rsidR="006D7EA5" w:rsidRPr="00DC205C" w:rsidRDefault="006D7EA5" w:rsidP="00DC205C">
      <w:pPr>
        <w:pStyle w:val="Paragrafoelenco"/>
        <w:numPr>
          <w:ilvl w:val="0"/>
          <w:numId w:val="16"/>
        </w:numPr>
        <w:spacing w:line="276" w:lineRule="auto"/>
        <w:ind w:left="-284" w:right="-284"/>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Uniformità ed estensione Regolamento ex art. 18 l. 84/1994</w:t>
      </w:r>
    </w:p>
    <w:p w14:paraId="4F83E1FF" w14:textId="77777777" w:rsidR="006D7EA5" w:rsidRPr="00DC205C" w:rsidRDefault="006D7EA5"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Semplificazioni in materia di concessioni portuali</w:t>
      </w:r>
    </w:p>
    <w:p w14:paraId="1181E11C"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Dopo il comma 2 dell’art. 18 legge 84/94 sono inserite le seguenti disposizioni:</w:t>
      </w:r>
    </w:p>
    <w:p w14:paraId="3EA5B11C" w14:textId="77777777" w:rsidR="006D7EA5" w:rsidRPr="00DC205C" w:rsidRDefault="006D7EA5" w:rsidP="00DC205C">
      <w:pPr>
        <w:spacing w:line="276" w:lineRule="auto"/>
        <w:ind w:left="-284" w:right="-284"/>
        <w:jc w:val="both"/>
        <w:rPr>
          <w:rFonts w:asciiTheme="majorHAnsi" w:hAnsiTheme="majorHAnsi" w:cstheme="majorHAnsi"/>
        </w:rPr>
      </w:pPr>
    </w:p>
    <w:p w14:paraId="75885304" w14:textId="77777777" w:rsidR="006D7EA5" w:rsidRPr="00DC205C" w:rsidRDefault="006D7EA5"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rPr>
        <w:t>“</w:t>
      </w:r>
      <w:r w:rsidRPr="00DC205C">
        <w:rPr>
          <w:rFonts w:asciiTheme="majorHAnsi" w:hAnsiTheme="majorHAnsi" w:cstheme="majorHAnsi"/>
          <w:i/>
          <w:iCs/>
        </w:rPr>
        <w:t xml:space="preserve">2 bis. Il Regolamento di cui al presente articolo si applica anche alle procedure per il rilascio di concessioni di cui all’art. 36 del codice della navigazione per l’uso e/o la gestione di terminal passeggeri e/o stazioni marittime nonché per l’uso di aree finalizzate </w:t>
      </w:r>
    </w:p>
    <w:p w14:paraId="09E5A41D"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i/>
          <w:iCs/>
        </w:rPr>
        <w:t>2 ter. Il Regolamento di cui al presente articolo sostituisce ed abroga i regolamenti adottati dalle singole Autorità di sistema portuale</w:t>
      </w:r>
      <w:r w:rsidRPr="00DC205C">
        <w:rPr>
          <w:rFonts w:asciiTheme="majorHAnsi" w:hAnsiTheme="majorHAnsi" w:cstheme="majorHAnsi"/>
        </w:rPr>
        <w:t>”.</w:t>
      </w:r>
    </w:p>
    <w:p w14:paraId="0F646EE0" w14:textId="77777777" w:rsidR="00DC205C" w:rsidRDefault="006D7EA5"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Relazione</w:t>
      </w:r>
    </w:p>
    <w:p w14:paraId="249EB569" w14:textId="7D610E09"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norma citata introduce importanti modifiche al quadro normativo vigente relativo alla gestione dei terminal passeggeri e delle stazioni marittime, nonché per l’uso delle aree finalizzate nelle operazioni portuali. Queste modifiche si trovano inserite dopo il comma 2 dell'articolo 18 della legge 84/94 e comprendono due nuovi commi: 2 bis e 2 ter.</w:t>
      </w:r>
    </w:p>
    <w:p w14:paraId="77A248AB"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Il comma 2 bis estende l'applicabilità del regolamento previsto dall'articolo 18 a specifiche procedure di rilascio delle concessioni. Tali concessioni riguardano l’uso e/o la gestione di terminal passeggeri e stazioni marittime, così come l’uso di aree destinate a specifiche finalità portuali. Questo ampliamento mira a unificare e standardizzare le procedure e i criteri per il rilascio delle concessioni in questo settore, precedentemente soggette a regolamenti variabili in base alle disposizioni locali o regionali delle singole Autorità di sistema portuale.</w:t>
      </w:r>
    </w:p>
    <w:p w14:paraId="27CACBEC"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Il comma 2 ter ha un impatto ancor più rilevante in quanto stabilisce che il regolamento menzionato nell'articolo 18 non solo si applica alle suddette procedure, ma sostituisce e abroga qualsiasi regolamento precedentemente adottato dalle singole Autorità di sistema portuale in materia. Questo significa che tutte le norme e le linee guida che regolavano fino a quel momento le concessioni e l'uso delle infrastrutture portuali devono ora conformarsi unicamente al nuovo regolamento centralizzato. Questa disposizione mira a creare una maggiore coerenza e uniformità nelle operazioni portuali a livello nazionale, riducendo la frammentazione normativa e potenziali conflitti o duplicazioni nelle regolamentazioni locali.</w:t>
      </w:r>
    </w:p>
    <w:p w14:paraId="29FDE3B1" w14:textId="6F2F425D"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L’introduzione di questi commi semplifica le procedure e offre maggiore chiarezza agli operatori del settore. Tuttavia, potrebbe anche sollevare sfide, come la necessità per le Autorità di sistema portuale di adeguare le proprie operazioni alle nuove disposizioni normative e di gestire la transizione verso il nuovo sistema regolatorio. Inoltre, l’efficacia di questa riforma sarà largamente dipendente dalla chiarezza, completezza e attuabilità del regolamento che sarà adottato a livello centrale.</w:t>
      </w:r>
    </w:p>
    <w:p w14:paraId="0C14D7AB" w14:textId="77777777" w:rsidR="006D7EA5" w:rsidRPr="00DC205C" w:rsidRDefault="006D7EA5" w:rsidP="00DC205C">
      <w:pPr>
        <w:spacing w:line="276" w:lineRule="auto"/>
        <w:ind w:left="-284" w:right="-284"/>
        <w:jc w:val="both"/>
        <w:rPr>
          <w:rFonts w:asciiTheme="majorHAnsi" w:hAnsiTheme="majorHAnsi" w:cstheme="majorHAnsi"/>
        </w:rPr>
      </w:pPr>
      <w:r w:rsidRPr="00DC205C">
        <w:rPr>
          <w:rFonts w:asciiTheme="majorHAnsi" w:hAnsiTheme="majorHAnsi" w:cstheme="majorHAnsi"/>
        </w:rPr>
        <w:lastRenderedPageBreak/>
        <w:t xml:space="preserve">   L’inserimento dei commi 2 bis e 2 ter nell'articolo 18 della legge 84/94 rappresenta un tentativo di modernizzare e centralizzare la normativa portuale italiana, promuovendo una maggiore efficienza e uniformità nelle operazioni e nella gestione dei porti. Resta da vedere come queste modifiche verranno implementate nella pratica e quali saranno i loro effetti reali sul sistema portuale nazionale.</w:t>
      </w:r>
    </w:p>
    <w:p w14:paraId="16A270D9" w14:textId="77777777" w:rsidR="006D7EA5" w:rsidRPr="00DC205C" w:rsidRDefault="006D7EA5" w:rsidP="00DC205C">
      <w:pPr>
        <w:spacing w:line="276" w:lineRule="auto"/>
        <w:ind w:left="-284" w:right="-284"/>
        <w:rPr>
          <w:rFonts w:asciiTheme="majorHAnsi" w:hAnsiTheme="majorHAnsi" w:cstheme="majorHAnsi"/>
          <w:b/>
          <w:bCs/>
        </w:rPr>
      </w:pPr>
    </w:p>
    <w:p w14:paraId="70CFF15F" w14:textId="5238678B" w:rsidR="006D7EA5" w:rsidRPr="00DC205C" w:rsidRDefault="006D7EA5" w:rsidP="00DC205C">
      <w:pPr>
        <w:pStyle w:val="Paragrafoelenco"/>
        <w:numPr>
          <w:ilvl w:val="0"/>
          <w:numId w:val="16"/>
        </w:numPr>
        <w:tabs>
          <w:tab w:val="left" w:pos="3290"/>
        </w:tabs>
        <w:spacing w:line="276" w:lineRule="auto"/>
        <w:ind w:left="-284" w:right="-284"/>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Aggiornamento Canoni demaniali</w:t>
      </w:r>
    </w:p>
    <w:p w14:paraId="64CD52BF" w14:textId="77777777" w:rsidR="006D7EA5" w:rsidRPr="00DC205C" w:rsidRDefault="006D7EA5" w:rsidP="00DC205C">
      <w:pPr>
        <w:spacing w:line="276" w:lineRule="auto"/>
        <w:ind w:left="-284" w:right="-284"/>
        <w:rPr>
          <w:rFonts w:asciiTheme="majorHAnsi" w:hAnsiTheme="majorHAnsi" w:cstheme="majorHAnsi"/>
          <w:b/>
          <w:bCs/>
        </w:rPr>
      </w:pPr>
      <w:r w:rsidRPr="00DC205C">
        <w:rPr>
          <w:rFonts w:asciiTheme="majorHAnsi" w:hAnsiTheme="majorHAnsi" w:cstheme="majorHAnsi"/>
          <w:b/>
          <w:bCs/>
        </w:rPr>
        <w:t>Disposizioni in materia di canoni per le concessioni portuali</w:t>
      </w:r>
    </w:p>
    <w:p w14:paraId="33EC45A0" w14:textId="77777777" w:rsidR="006D7EA5"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 xml:space="preserve">All’art. 15 comma 1 del dl. 104/2023 dopo le parole “Autorità di sistema portuale” sono inserite le seguenti parole: “ai sensi degli articoli 18 legge n. 84/1994, nonché art. 36 cod. nav., con esclusione delle concessioni per uso turistico ricreativo”. </w:t>
      </w:r>
    </w:p>
    <w:p w14:paraId="1B0A63EB" w14:textId="23F26F05" w:rsidR="006D7EA5" w:rsidRPr="00DC205C" w:rsidRDefault="006D7EA5" w:rsidP="00DC205C">
      <w:pPr>
        <w:tabs>
          <w:tab w:val="left" w:pos="3570"/>
        </w:tabs>
        <w:spacing w:line="276" w:lineRule="auto"/>
        <w:ind w:left="-284" w:right="-284"/>
        <w:rPr>
          <w:rFonts w:asciiTheme="majorHAnsi" w:hAnsiTheme="majorHAnsi" w:cstheme="majorHAnsi"/>
          <w:b/>
          <w:bCs/>
          <w:lang w:val="en-US"/>
        </w:rPr>
      </w:pPr>
      <w:proofErr w:type="spellStart"/>
      <w:r w:rsidRPr="00DC205C">
        <w:rPr>
          <w:rFonts w:asciiTheme="majorHAnsi" w:hAnsiTheme="majorHAnsi" w:cstheme="majorHAnsi"/>
          <w:b/>
          <w:bCs/>
          <w:lang w:val="en-US"/>
        </w:rPr>
        <w:t>Relazione</w:t>
      </w:r>
      <w:proofErr w:type="spellEnd"/>
    </w:p>
    <w:p w14:paraId="78A7E238" w14:textId="77777777" w:rsidR="006D7EA5"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La disposizione mira a chiarire la portata applicativa dell’applicazione dell’aggiornamento annuale dei canoni demaniali applicabili alle concessioni portuali.</w:t>
      </w:r>
    </w:p>
    <w:p w14:paraId="5B9E72DB" w14:textId="77777777" w:rsidR="006D7EA5"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La norma mira ad eliminare rischi di discriminazione tra concessioni rilasciate ai sensi dell’art. 18 della legge n. 84/1994 e concessioni (sempre portuali) rilasciate ai sensi dell’art. 36 cod. nav. La discriminazione, infatti, si concreterebbe nell’applicazione di discipline diverse a situazioni giuridiche analoghe, ossia a terminal portuali, senza una obbiettiva ragione discriminatoria.</w:t>
      </w:r>
    </w:p>
    <w:p w14:paraId="69A6310A" w14:textId="0558262B" w:rsidR="00D129FC" w:rsidRPr="00DC205C" w:rsidRDefault="006D7EA5" w:rsidP="00DC205C">
      <w:pPr>
        <w:spacing w:line="276" w:lineRule="auto"/>
        <w:ind w:left="-284" w:right="-284"/>
        <w:rPr>
          <w:rFonts w:asciiTheme="majorHAnsi" w:hAnsiTheme="majorHAnsi" w:cstheme="majorHAnsi"/>
        </w:rPr>
      </w:pPr>
      <w:r w:rsidRPr="00DC205C">
        <w:rPr>
          <w:rFonts w:asciiTheme="majorHAnsi" w:hAnsiTheme="majorHAnsi" w:cstheme="majorHAnsi"/>
        </w:rPr>
        <w:t>Tale discriminazione configurerebbe, infatti, una violazione delle norme europee in materia di mercato interno.</w:t>
      </w:r>
    </w:p>
    <w:p w14:paraId="68F7B58E" w14:textId="77777777" w:rsidR="00D129FC" w:rsidRPr="00DC205C" w:rsidRDefault="00D129FC" w:rsidP="00DC205C">
      <w:pPr>
        <w:spacing w:line="276" w:lineRule="auto"/>
        <w:ind w:left="-284" w:right="-284"/>
        <w:rPr>
          <w:rFonts w:asciiTheme="majorHAnsi" w:hAnsiTheme="majorHAnsi" w:cstheme="majorHAnsi"/>
        </w:rPr>
      </w:pPr>
    </w:p>
    <w:p w14:paraId="5E75D689" w14:textId="41C6FA4E" w:rsidR="00D129FC" w:rsidRPr="00DC205C" w:rsidRDefault="00D129FC" w:rsidP="00DC205C">
      <w:pPr>
        <w:pStyle w:val="Paragrafoelenco"/>
        <w:numPr>
          <w:ilvl w:val="0"/>
          <w:numId w:val="16"/>
        </w:numPr>
        <w:spacing w:line="276" w:lineRule="auto"/>
        <w:ind w:left="-284" w:right="-284"/>
        <w:rPr>
          <w:rFonts w:asciiTheme="majorHAnsi" w:hAnsiTheme="majorHAnsi" w:cstheme="majorHAnsi"/>
          <w:b/>
          <w:bCs/>
          <w:color w:val="1F497D" w:themeColor="text2"/>
          <w:sz w:val="24"/>
          <w:szCs w:val="24"/>
        </w:rPr>
      </w:pPr>
      <w:r w:rsidRPr="00DC205C">
        <w:rPr>
          <w:rFonts w:asciiTheme="majorHAnsi" w:hAnsiTheme="majorHAnsi" w:cstheme="majorHAnsi"/>
          <w:b/>
          <w:bCs/>
          <w:color w:val="1F497D" w:themeColor="text2"/>
          <w:sz w:val="24"/>
          <w:szCs w:val="24"/>
        </w:rPr>
        <w:t>Partecipazioni della Autorità di Sistema portuale</w:t>
      </w:r>
    </w:p>
    <w:p w14:paraId="6BDE98D4" w14:textId="77777777" w:rsidR="00D129FC" w:rsidRPr="00DC205C" w:rsidRDefault="00D129FC" w:rsidP="00DC205C">
      <w:pPr>
        <w:spacing w:before="120" w:after="12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L’art. 6 comma 11 della legge n. 84/1994, terzo periodo, è sostituito dal seguente:</w:t>
      </w:r>
    </w:p>
    <w:p w14:paraId="13FB7563" w14:textId="5599DC40" w:rsidR="00D129FC" w:rsidRPr="00DC205C" w:rsidRDefault="00D129FC"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“Essa può assumere esclusivamente partecipazioni di minoranza, a carattere societario, in iniziative finalizzate alla promozione e allo sviluppo di collegamenti logistici e intermodali, funzionali allo sviluppo del sistema portuale, ai sensi dell'articolo 46 del decreto-legge 6 dicembre 2011, n. 201, convertito, con modificazioni, dalla legge 22 dicembre 2011, n. 214.”</w:t>
      </w:r>
    </w:p>
    <w:p w14:paraId="5461704C" w14:textId="77777777" w:rsidR="00D129FC" w:rsidRPr="00DC205C" w:rsidRDefault="00D129FC" w:rsidP="00DC205C">
      <w:pPr>
        <w:spacing w:line="276" w:lineRule="auto"/>
        <w:ind w:left="-284" w:right="-284"/>
        <w:jc w:val="both"/>
        <w:rPr>
          <w:rFonts w:asciiTheme="majorHAnsi" w:eastAsiaTheme="minorHAnsi" w:hAnsiTheme="majorHAnsi" w:cstheme="majorHAnsi"/>
          <w:i/>
          <w:iCs/>
        </w:rPr>
      </w:pPr>
    </w:p>
    <w:p w14:paraId="62C44E52" w14:textId="77777777" w:rsidR="00D129FC" w:rsidRPr="00DC205C" w:rsidRDefault="00D129FC" w:rsidP="00DC205C">
      <w:pPr>
        <w:spacing w:before="120" w:after="12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Dopo il comma 12 dell’art.6 della legge n. 84/1994, è inserito il seguente comma:</w:t>
      </w:r>
    </w:p>
    <w:p w14:paraId="4DDA530D" w14:textId="26E7987C" w:rsidR="00D129FC" w:rsidRPr="00DC205C" w:rsidRDefault="00D129FC"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“12-bis Per quanto concerne le Autorità̀ di sistema portuale, l’istituzione del collegio consultivo tecnico di cui all’articolo 6 del decreto-legge 16 luglio 2020, n. 76, convertito, con modificazioni, dalla legge 11 settembre 2020, n. 120, ha carattere facoltativo”</w:t>
      </w:r>
    </w:p>
    <w:p w14:paraId="490320A7" w14:textId="14095FBE" w:rsidR="00D129FC" w:rsidRPr="00DC205C" w:rsidRDefault="00D129FC" w:rsidP="00DC205C">
      <w:pPr>
        <w:tabs>
          <w:tab w:val="left" w:pos="1590"/>
        </w:tabs>
        <w:spacing w:line="276" w:lineRule="auto"/>
        <w:ind w:left="-284" w:right="-284"/>
        <w:rPr>
          <w:rFonts w:asciiTheme="majorHAnsi" w:hAnsiTheme="majorHAnsi" w:cstheme="majorHAnsi"/>
        </w:rPr>
      </w:pPr>
      <w:r w:rsidRPr="00DC205C">
        <w:rPr>
          <w:rFonts w:asciiTheme="majorHAnsi" w:hAnsiTheme="majorHAnsi" w:cstheme="majorHAnsi"/>
        </w:rPr>
        <w:tab/>
      </w:r>
    </w:p>
    <w:p w14:paraId="45C4579D" w14:textId="007CEEE1" w:rsidR="00D129FC" w:rsidRPr="00DC205C" w:rsidRDefault="00D129FC" w:rsidP="00DC205C">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DC205C">
        <w:rPr>
          <w:rFonts w:asciiTheme="majorHAnsi" w:eastAsia="Calibri" w:hAnsiTheme="majorHAnsi" w:cstheme="majorHAnsi"/>
          <w:b/>
          <w:bCs/>
          <w:color w:val="1F497D" w:themeColor="text2"/>
        </w:rPr>
        <w:t>Equilibrio economico finanziario concessioni demaniali marittime portuali</w:t>
      </w:r>
    </w:p>
    <w:p w14:paraId="6B90E11B" w14:textId="77777777" w:rsidR="00D129FC" w:rsidRPr="00DC205C" w:rsidRDefault="00D129FC" w:rsidP="00DC205C">
      <w:pPr>
        <w:spacing w:after="160" w:line="276" w:lineRule="auto"/>
        <w:ind w:left="-284" w:right="-284"/>
        <w:rPr>
          <w:rFonts w:asciiTheme="majorHAnsi" w:eastAsiaTheme="minorHAnsi" w:hAnsiTheme="majorHAnsi" w:cstheme="majorHAnsi"/>
          <w:i/>
          <w:iCs/>
        </w:rPr>
      </w:pPr>
      <w:r w:rsidRPr="00DC205C">
        <w:rPr>
          <w:rFonts w:asciiTheme="majorHAnsi" w:eastAsiaTheme="minorHAnsi" w:hAnsiTheme="majorHAnsi" w:cstheme="majorHAnsi"/>
          <w:b/>
          <w:bCs/>
          <w:i/>
          <w:iCs/>
        </w:rPr>
        <w:t>Modifiche delle concessioni portuali in corso di validità</w:t>
      </w:r>
    </w:p>
    <w:p w14:paraId="3018A8DE"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1. Le Autorità di Sistema Portuale, su istanza dei soggetti titolari delle concessioni rilasciate ai sensi degli articoli 6 o 18 legge n. 84 del 1994, nonché delle imprese concessionarie di stazioni marittime e dei servizi di supporto a passeggeri, possono disporre, compatibilmente con il diritto dell’Unione europea, ove ne ricorrano le condizioni, una modifica non sostanziale dei rapporti concessori in essere, affinché la durata, la misura dei canoni e l’ammontare degli investimenti consentano il mantenimento di un utile ragionevole di mercato, al fine di tenere conto degli effetti </w:t>
      </w:r>
      <w:r w:rsidRPr="00DC205C">
        <w:rPr>
          <w:rFonts w:asciiTheme="majorHAnsi" w:eastAsiaTheme="minorHAnsi" w:hAnsiTheme="majorHAnsi" w:cstheme="majorHAnsi"/>
          <w:i/>
          <w:iCs/>
        </w:rPr>
        <w:lastRenderedPageBreak/>
        <w:t xml:space="preserve">derivanti dagli eventi imprevedibili, nonché dalla necessità di eseguire lavori aggiuntivi necessari per l’esercizio dell’infrastruttura, previa notifica alla Commissione europea art. 108 TFUE a cura dell’Autorità concedente. </w:t>
      </w:r>
    </w:p>
    <w:p w14:paraId="3D132165"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2. La modifica è redatta su istanza del titolare della concessione da presentarsi ai sensi dell’articolo 24 del Regolamento per l’esecuzione del Codice della navigazione di cui al D.P.R. 15 febbraio 1952, n. 328, la quale è corredata da una relazione tecnica che dia atto della necessarietà degli interventi aggiuntivi e della imprevedibilità degli eventi sopravvenuti. </w:t>
      </w:r>
    </w:p>
    <w:p w14:paraId="21F4E3E1"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3. L’istanza di cui al comma 1 è altresì corredata da un piano finanziario regolatorio che dia atto dell'equilibrio economico-finanziario, affinché il tasso di rendimento interno non conduca ad una variazione maggiore del 20% del valore originario della concessione, come calcolato ai sensi dell’art. 8 della direttiva 23/2014/UE. </w:t>
      </w:r>
    </w:p>
    <w:p w14:paraId="4AD6ED74"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 xml:space="preserve">4. Gli investimenti eseguiti dai concessionari su beni che formano oggetto della concessione, soggetti ad incameramento al termine della medesima, sono interamente computati ai fini dell’equilibrio economico finanziario di cui al comma 1, tanto rispetto alla misura dei canoni quanto rispetto alla durata della concessione. </w:t>
      </w:r>
    </w:p>
    <w:p w14:paraId="32605641" w14:textId="77777777" w:rsidR="00D129FC" w:rsidRPr="00DC205C" w:rsidRDefault="00D129FC" w:rsidP="00DC205C">
      <w:pPr>
        <w:spacing w:after="160"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5. In caso di decisione positiva da parte della Commissione europea resa ai sensi dell’articolo 108 TFUE, l’Autorità di Sistema Portuale competente recepisce il contenuto della decisione attraverso un provvedimento ai sensi dell’art. 11 della legge n. 241 del 1990.</w:t>
      </w:r>
    </w:p>
    <w:p w14:paraId="56D95B50" w14:textId="34D9D0A8" w:rsidR="00D129FC" w:rsidRPr="00DC205C" w:rsidRDefault="00D129FC" w:rsidP="00DC205C">
      <w:pPr>
        <w:tabs>
          <w:tab w:val="left" w:pos="1590"/>
        </w:tabs>
        <w:spacing w:line="276" w:lineRule="auto"/>
        <w:ind w:left="-284" w:right="-284"/>
        <w:rPr>
          <w:rFonts w:asciiTheme="majorHAnsi" w:hAnsiTheme="majorHAnsi" w:cstheme="majorHAnsi"/>
        </w:rPr>
      </w:pPr>
      <w:r w:rsidRPr="00DC205C">
        <w:rPr>
          <w:rFonts w:asciiTheme="majorHAnsi" w:eastAsiaTheme="minorHAnsi" w:hAnsiTheme="majorHAnsi" w:cstheme="majorHAnsi"/>
          <w:i/>
          <w:iCs/>
        </w:rPr>
        <w:t>6. Qualora al termine della concessione residui un valore non ammortizzato dei beni che sia soggetto ad incameramento, il concessionario uscente ha diritto alla corresponsione di un “valore di subentro” da parte del concessionario subentrante</w:t>
      </w:r>
      <w:r w:rsidRPr="00DC205C">
        <w:rPr>
          <w:rFonts w:asciiTheme="majorHAnsi" w:eastAsiaTheme="minorHAnsi" w:hAnsiTheme="majorHAnsi" w:cstheme="majorHAnsi"/>
        </w:rPr>
        <w:t>”.</w:t>
      </w:r>
    </w:p>
    <w:p w14:paraId="31536FC8" w14:textId="7195662E" w:rsidR="00D129FC" w:rsidRPr="00DC205C" w:rsidRDefault="00D129FC"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 xml:space="preserve">Relazione </w:t>
      </w:r>
    </w:p>
    <w:p w14:paraId="68F42964"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mira a dare piena attuazione all’ordinamento dell’Unione europea in materia di mercato interno in modo da garantire completa attuazione dell’equilibrio economico finanziario. </w:t>
      </w:r>
    </w:p>
    <w:p w14:paraId="79E4C415"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Anche al fine di dare seguito a quanto in premessa, come noto, l'articolo 36 del codice della navigazione (regio decreto 30 marzo 1942, n. 327) disciplina le concessioni demaniali marittime anche insistenti nell’ambito portuale disciplinato dalla legge n. 84/1994. </w:t>
      </w:r>
    </w:p>
    <w:p w14:paraId="584342E7"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Gli articoli 16, e 18 della legge portuale (legge 28 gennaio 1994, n. 1994) disciplinano, rispettivamente, le autorizzazioni ad erogare operazioni portuali, nonché il rilascio di concessioni di aree e banchine per lo svolgimento di operazioni portuali. Queste ultime costituiscono, quindi, una fattispecie rientrante anche di cui all’art. 36 cod. nav.</w:t>
      </w:r>
    </w:p>
    <w:p w14:paraId="276A79B4"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Inoltre la legge n. 84/1994, all’art. 6, disciplina l’affidamento del servizio di gestione delle stazioni marittime e dei servizi di supporto ai passeggeri, svolti, anch’essi, in regime di concessione.</w:t>
      </w:r>
    </w:p>
    <w:p w14:paraId="3ACBA371" w14:textId="57EB8DD5"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Considerato il significativo calo dei traffici registratosi nei porti italiani e la cospicua necessità di nuovi investimenti per traguardare gli obbiettivi del PNRR, e considerata altresì la necessità di contenere i negativi effetti economici derivanti da eventi imprevedibili e ridurre i costi connessi alle misure di prevenzione e contenimento adottate, si ritiene necessario introdurre una compensazione che consenta alle Autorità di sistema portuale di applicare in modo effettivo l’art. 107 del TFUE e l’art. 56 TFUE in modo non discriminatorio e garantendo la parità di accesso al mercato.</w:t>
      </w:r>
    </w:p>
    <w:p w14:paraId="46060247" w14:textId="6B00EE9A" w:rsidR="00D129FC" w:rsidRPr="00DC205C" w:rsidRDefault="00D129FC" w:rsidP="00DC205C">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DC205C">
        <w:rPr>
          <w:rFonts w:asciiTheme="majorHAnsi" w:eastAsia="Calibri" w:hAnsiTheme="majorHAnsi" w:cstheme="majorHAnsi"/>
          <w:b/>
          <w:bCs/>
          <w:color w:val="1F497D" w:themeColor="text2"/>
        </w:rPr>
        <w:t>Efficienza delle decisioni del Comitato di Gestione portuale</w:t>
      </w:r>
    </w:p>
    <w:p w14:paraId="0C51390E" w14:textId="4F499D3E" w:rsidR="00D129FC" w:rsidRPr="00DC205C" w:rsidRDefault="00D129FC" w:rsidP="00DC205C">
      <w:pPr>
        <w:tabs>
          <w:tab w:val="center" w:pos="4150"/>
          <w:tab w:val="left" w:pos="4755"/>
        </w:tabs>
        <w:spacing w:after="160" w:line="276" w:lineRule="auto"/>
        <w:ind w:left="-284" w:right="-284"/>
        <w:rPr>
          <w:rFonts w:asciiTheme="majorHAnsi" w:eastAsiaTheme="minorHAnsi" w:hAnsiTheme="majorHAnsi" w:cstheme="majorHAnsi"/>
        </w:rPr>
      </w:pPr>
      <w:r w:rsidRPr="00DC205C">
        <w:rPr>
          <w:rFonts w:asciiTheme="majorHAnsi" w:eastAsiaTheme="minorHAnsi" w:hAnsiTheme="majorHAnsi" w:cstheme="majorHAnsi"/>
        </w:rPr>
        <w:t>All’art. 9 della legge n. 84/1994, dopo il comma 1-bis, è inserito il seguente:</w:t>
      </w:r>
    </w:p>
    <w:p w14:paraId="655854EB" w14:textId="77777777" w:rsidR="00D129FC" w:rsidRPr="00DC205C" w:rsidRDefault="00D129FC" w:rsidP="00DC205C">
      <w:pPr>
        <w:tabs>
          <w:tab w:val="center" w:pos="4150"/>
          <w:tab w:val="left" w:pos="4755"/>
        </w:tabs>
        <w:spacing w:after="160" w:line="276" w:lineRule="auto"/>
        <w:ind w:left="-284" w:right="-284"/>
        <w:rPr>
          <w:rFonts w:asciiTheme="majorHAnsi" w:eastAsiaTheme="minorHAnsi" w:hAnsiTheme="majorHAnsi" w:cstheme="majorHAnsi"/>
          <w:b/>
          <w:bCs/>
        </w:rPr>
      </w:pPr>
      <w:r w:rsidRPr="00DC205C">
        <w:rPr>
          <w:rFonts w:asciiTheme="majorHAnsi" w:eastAsiaTheme="minorHAnsi" w:hAnsiTheme="majorHAnsi" w:cstheme="majorHAnsi"/>
        </w:rPr>
        <w:t>“</w:t>
      </w:r>
      <w:r w:rsidRPr="00DC205C">
        <w:rPr>
          <w:rFonts w:asciiTheme="majorHAnsi" w:eastAsiaTheme="minorHAnsi" w:hAnsiTheme="majorHAnsi" w:cstheme="majorHAnsi"/>
          <w:i/>
          <w:iCs/>
        </w:rPr>
        <w:t xml:space="preserve">1 ter. Qualora l’esecuzione di una deliberazione del Comitato di Gestione sia subordinata all'acquisizione di più pareri, intese, concerti, nulla osta o altri atti di assenso, comunque denominati, di competenza di amministrazioni che hanno designato i componenti di cui ai commi 1 e 1 bis, il Comitato di Gestione opera ai sensi dell’art. 14 comma 2 della legge n. 241/1990. A tali fini, i componenti di cui ai commi 1 e 1-bis del presente articolo sono delegati dai rispettivi enti di designazione a comunicare i pareri, intese, concerti, nulla osta o altri atti di assenso, comunque denominati, espressi dai rispettivi enti di designazione. Qualora l’esecuzione di una deliberazione del Comitato di Gestione sia subordinata all'acquisizione di più pareri, intese, concerti, nulla osta o altri atti di assenso, comunque denominati, di competenza di amministrazioni pubbliche terze, che non hanno designato componenti di cui ai commi 1 e 1 bis, la convocazione della relativa seduta del Comitato di gestione è estesa a tali amministrazioni ai fini dell’applicazione dell’art. 14 comma 2 della legge n. 241 del </w:t>
      </w:r>
      <w:proofErr w:type="gramStart"/>
      <w:r w:rsidRPr="00DC205C">
        <w:rPr>
          <w:rFonts w:asciiTheme="majorHAnsi" w:eastAsiaTheme="minorHAnsi" w:hAnsiTheme="majorHAnsi" w:cstheme="majorHAnsi"/>
          <w:i/>
          <w:iCs/>
        </w:rPr>
        <w:t xml:space="preserve">1990 </w:t>
      </w:r>
      <w:r w:rsidRPr="00DC205C">
        <w:rPr>
          <w:rFonts w:asciiTheme="majorHAnsi" w:eastAsiaTheme="minorHAnsi" w:hAnsiTheme="majorHAnsi" w:cstheme="majorHAnsi"/>
        </w:rPr>
        <w:t>”</w:t>
      </w:r>
      <w:proofErr w:type="gramEnd"/>
      <w:r w:rsidRPr="00DC205C">
        <w:rPr>
          <w:rFonts w:asciiTheme="majorHAnsi" w:eastAsiaTheme="minorHAnsi" w:hAnsiTheme="majorHAnsi" w:cstheme="majorHAnsi"/>
        </w:rPr>
        <w:t>.</w:t>
      </w:r>
    </w:p>
    <w:p w14:paraId="176C7AF8" w14:textId="6A5D6138" w:rsidR="00D129FC" w:rsidRPr="00DC205C" w:rsidRDefault="00D129FC"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 xml:space="preserve">Relazione </w:t>
      </w:r>
    </w:p>
    <w:p w14:paraId="37B6320B" w14:textId="77777777" w:rsidR="00D129FC" w:rsidRPr="00DC205C" w:rsidRDefault="00D129FC"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mira a dare piena attuazione all’ordinamento dell’Unione europea in materia di mercato interno in modo da garantire che le decisioni del Comitato di gestione possano essere efficacemente applicate una volta che sono deliberate. </w:t>
      </w:r>
    </w:p>
    <w:p w14:paraId="10043C48" w14:textId="0907FA03" w:rsidR="006D7EA5" w:rsidRPr="00DC205C" w:rsidRDefault="00D129FC" w:rsidP="00DC205C">
      <w:pPr>
        <w:tabs>
          <w:tab w:val="center" w:pos="4150"/>
          <w:tab w:val="left" w:pos="4755"/>
        </w:tabs>
        <w:spacing w:after="160" w:line="276" w:lineRule="auto"/>
        <w:ind w:left="-284" w:right="-284"/>
        <w:rPr>
          <w:rFonts w:asciiTheme="majorHAnsi" w:eastAsiaTheme="minorHAnsi" w:hAnsiTheme="majorHAnsi" w:cstheme="majorHAnsi"/>
          <w:b/>
          <w:bCs/>
        </w:rPr>
      </w:pPr>
      <w:r w:rsidRPr="00DC205C">
        <w:rPr>
          <w:rFonts w:asciiTheme="majorHAnsi" w:eastAsiaTheme="minorHAnsi" w:hAnsiTheme="majorHAnsi" w:cstheme="majorHAnsi"/>
        </w:rPr>
        <w:t>A tal fine, dal momento che il Comitato di Gestione include componenti designati da alcune delle principali amministrazioni pubbliche coinvolte, si prevede che le deliberazioni del Comitato di gestione abbiano valore di conferenza di servizi decisoria in modo che il Comune e la Regione, attraverso il voto in Comitato di Gestione rendano tutti i pareri, o provvedimenti comunque denominati, affinché le delibere siano esecutive immediatamente dopo l’adozione.</w:t>
      </w:r>
    </w:p>
    <w:p w14:paraId="0D89606A" w14:textId="239B49B3" w:rsidR="006D7EA5" w:rsidRPr="00DC205C" w:rsidRDefault="006D7EA5" w:rsidP="00DC205C">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DC205C">
        <w:rPr>
          <w:rFonts w:asciiTheme="majorHAnsi" w:eastAsia="Calibri" w:hAnsiTheme="majorHAnsi" w:cstheme="majorHAnsi"/>
          <w:b/>
          <w:bCs/>
          <w:color w:val="1F497D" w:themeColor="text2"/>
        </w:rPr>
        <w:t>Aggiornamento annuale dei canoni demaniali in ambito portuale</w:t>
      </w:r>
    </w:p>
    <w:p w14:paraId="23762497" w14:textId="77777777"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“Art (…)   Aggiornamento dei canoni demaniali portuali</w:t>
      </w:r>
    </w:p>
    <w:p w14:paraId="40D87B68" w14:textId="06668808"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I canoni dovuti per le concessioni di aree e pertinenze demaniali marittime rilasciate dalle Autorità di sistema portuale sono aggiornati annualmente in misura pari al 70% dell’indice dei prezzi al consumo per le famiglie di operai e impiegati, pubblicato sulla Gazzetta Ufficiale ai sensi dell’art. 81 della legge 27 luglio 1978, n. 392”.</w:t>
      </w:r>
    </w:p>
    <w:p w14:paraId="7E495A20" w14:textId="536BD1D3" w:rsidR="006D7EA5" w:rsidRPr="00DC205C" w:rsidRDefault="006D7EA5" w:rsidP="00DC205C">
      <w:pPr>
        <w:spacing w:before="240" w:after="160" w:line="276" w:lineRule="auto"/>
        <w:ind w:left="-284" w:right="-284"/>
        <w:jc w:val="both"/>
        <w:rPr>
          <w:rFonts w:asciiTheme="majorHAnsi" w:eastAsiaTheme="minorHAnsi" w:hAnsiTheme="majorHAnsi" w:cstheme="majorHAnsi"/>
          <w:b/>
          <w:bCs/>
          <w:i/>
          <w:iCs/>
        </w:rPr>
      </w:pPr>
      <w:r w:rsidRPr="00DC205C">
        <w:rPr>
          <w:rFonts w:asciiTheme="majorHAnsi" w:eastAsiaTheme="minorHAnsi" w:hAnsiTheme="majorHAnsi" w:cstheme="majorHAnsi"/>
          <w:b/>
          <w:bCs/>
          <w:i/>
          <w:iCs/>
        </w:rPr>
        <w:t xml:space="preserve">Relazione </w:t>
      </w:r>
    </w:p>
    <w:p w14:paraId="5F138B8A" w14:textId="77777777" w:rsidR="006D7EA5" w:rsidRPr="00DC205C" w:rsidRDefault="006D7EA5"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norma mira dare certezza e semplificare l’applicazione dell’aggiornamento annuale dei canoni demaniali individuando un aggiornamento certo, non discriminatorio e di facile applicazione. </w:t>
      </w:r>
    </w:p>
    <w:p w14:paraId="0BDD082D" w14:textId="77777777" w:rsidR="006D7EA5" w:rsidRPr="00DC205C" w:rsidRDefault="006D7EA5"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La norma, garantendo parità di trattamento, rimuove la concorrenza regolatoria che si è riscontrata nell’applicazione diversificata dell’aggiornamento annuale secondo le regole previgenti, in modo tale da garantire anche un più corretto adempimento agli obblighi derivanti dall’appartenenza all’Unione europea in materia di mercato interno e concorrenza.</w:t>
      </w:r>
    </w:p>
    <w:p w14:paraId="398F4E0F" w14:textId="77777777" w:rsidR="006D7EA5" w:rsidRPr="00DC205C" w:rsidRDefault="006D7EA5" w:rsidP="00DC205C">
      <w:pPr>
        <w:spacing w:after="160"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Di conseguenza, vengono parzialmente superate le disposizioni di cui al </w:t>
      </w:r>
      <w:proofErr w:type="spellStart"/>
      <w:r w:rsidRPr="00DC205C">
        <w:rPr>
          <w:rFonts w:asciiTheme="majorHAnsi" w:eastAsiaTheme="minorHAnsi" w:hAnsiTheme="majorHAnsi" w:cstheme="majorHAnsi"/>
        </w:rPr>
        <w:t>D.l.</w:t>
      </w:r>
      <w:proofErr w:type="spellEnd"/>
      <w:r w:rsidRPr="00DC205C">
        <w:rPr>
          <w:rFonts w:asciiTheme="majorHAnsi" w:eastAsiaTheme="minorHAnsi" w:hAnsiTheme="majorHAnsi" w:cstheme="majorHAnsi"/>
        </w:rPr>
        <w:t xml:space="preserve"> n. 400/1993, convertito con la legge n. 494/1993, nonché l’art. 15 comma 1-bis del decreto legge n. 104/2023 convertito con la legge n. 136/2023.</w:t>
      </w:r>
    </w:p>
    <w:p w14:paraId="1070CC69" w14:textId="4CB1C060" w:rsidR="006D7EA5" w:rsidRPr="005D103F" w:rsidRDefault="006D7EA5" w:rsidP="005D103F">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Disposizioni in materia di contribuzione all’Autorità di Regolazione dei Trasporti</w:t>
      </w:r>
    </w:p>
    <w:p w14:paraId="249C862C" w14:textId="77777777"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Art (…)</w:t>
      </w:r>
    </w:p>
    <w:p w14:paraId="1E79695A" w14:textId="23D41616" w:rsidR="00904C59" w:rsidRPr="00DC205C" w:rsidRDefault="00904C59" w:rsidP="00DC205C">
      <w:pPr>
        <w:spacing w:after="160" w:line="276" w:lineRule="auto"/>
        <w:ind w:left="-284" w:right="-284" w:hanging="360"/>
        <w:contextualSpacing/>
        <w:jc w:val="both"/>
        <w:outlineLvl w:val="1"/>
        <w:rPr>
          <w:rFonts w:asciiTheme="majorHAnsi" w:eastAsia="Calibri" w:hAnsiTheme="majorHAnsi" w:cstheme="majorHAnsi"/>
          <w:i/>
          <w:iCs/>
          <w:kern w:val="2"/>
          <w14:ligatures w14:val="standardContextual"/>
        </w:rPr>
      </w:pPr>
      <w:r w:rsidRPr="00DC205C">
        <w:rPr>
          <w:rFonts w:asciiTheme="majorHAnsi" w:eastAsia="Calibri" w:hAnsiTheme="majorHAnsi" w:cstheme="majorHAnsi"/>
          <w:i/>
          <w:iCs/>
          <w:kern w:val="2"/>
          <w14:ligatures w14:val="standardContextual"/>
        </w:rPr>
        <w:t>«A seguito del trasferimento delle funzioni di regolazione all’Autorità di regolazione dei trasporti ed al fine di evitare una doppia imposizione, in applicazione degli articoli 56 e 107 del Trattato sul funzionamento europeo, il contributo di funzionamento di cui all’articolo 37 del decreto-legge 6 dicembre 2011, n. 201, convertito con modificazioni dalla legge 22 dicembre 2011, n. 214,  è scontato dal canone di concessione dovuto alle Autorità di sistema portuale da parte dei soggetti titolari di autorizzazioni rilasciate ai sensi dell’articolo 16 della legge 28 gennaio 1994, n.84 e dei soggetti titolari di concessione rilasciate ai sensi degli articoli 6 o 18 della medesima legge.».</w:t>
      </w:r>
    </w:p>
    <w:p w14:paraId="7576376F" w14:textId="77777777" w:rsidR="006D7EA5" w:rsidRPr="00DC205C" w:rsidRDefault="006D7EA5" w:rsidP="00DC205C">
      <w:pPr>
        <w:spacing w:line="276" w:lineRule="auto"/>
        <w:ind w:left="-284" w:right="-284"/>
        <w:jc w:val="both"/>
        <w:rPr>
          <w:rFonts w:asciiTheme="majorHAnsi" w:eastAsiaTheme="minorHAnsi" w:hAnsiTheme="majorHAnsi" w:cstheme="majorHAnsi"/>
        </w:rPr>
      </w:pPr>
    </w:p>
    <w:p w14:paraId="5339A638" w14:textId="6E6BAF09" w:rsidR="006D7EA5" w:rsidRPr="00DC205C" w:rsidRDefault="006D7EA5" w:rsidP="00DC205C">
      <w:pPr>
        <w:spacing w:line="276" w:lineRule="auto"/>
        <w:ind w:left="-284" w:right="-284"/>
        <w:jc w:val="both"/>
        <w:rPr>
          <w:rFonts w:asciiTheme="majorHAnsi" w:eastAsiaTheme="minorHAnsi" w:hAnsiTheme="majorHAnsi" w:cstheme="majorHAnsi"/>
          <w:b/>
        </w:rPr>
      </w:pPr>
      <w:r w:rsidRPr="00DC205C">
        <w:rPr>
          <w:rFonts w:asciiTheme="majorHAnsi" w:eastAsiaTheme="minorHAnsi" w:hAnsiTheme="majorHAnsi" w:cstheme="majorHAnsi"/>
          <w:b/>
        </w:rPr>
        <w:t>Relazione</w:t>
      </w:r>
    </w:p>
    <w:p w14:paraId="65AA86C9" w14:textId="77777777" w:rsidR="006D7EA5" w:rsidRPr="00DC205C" w:rsidRDefault="006D7EA5" w:rsidP="005D103F">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La presente disposizione ha la finalità di adeguare l’ordinamento nazionale all’ordinamento dell’Unione europea in materia di mercato interno e concorrenza. In particolare, se la legge n. 84/1994 assegnava alle Autorità portuali, oggi Autorità di Sistema portuale, la funzione di regolazione, il </w:t>
      </w:r>
      <w:proofErr w:type="spellStart"/>
      <w:r w:rsidRPr="00DC205C">
        <w:rPr>
          <w:rFonts w:asciiTheme="majorHAnsi" w:eastAsiaTheme="minorHAnsi" w:hAnsiTheme="majorHAnsi" w:cstheme="majorHAnsi"/>
        </w:rPr>
        <w:t>d.l.</w:t>
      </w:r>
      <w:proofErr w:type="spellEnd"/>
      <w:r w:rsidRPr="00DC205C">
        <w:rPr>
          <w:rFonts w:asciiTheme="majorHAnsi" w:eastAsiaTheme="minorHAnsi" w:hAnsiTheme="majorHAnsi" w:cstheme="majorHAnsi"/>
        </w:rPr>
        <w:t xml:space="preserve"> n. 201/2011 ha, invece, previsto che la regolazione dei servizi portuali sia di competenza dell’Autorità di Regolazione dei Trasporti.</w:t>
      </w:r>
    </w:p>
    <w:p w14:paraId="5A01C20E"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Al fine di consentire alle Autorità portuali di esercitare le proprie funzioni, gli operatori ex art. 16 e 18 della legge n. 84/1994, sono soggetti al pagamento del canone autorizzativo e/o demaniale. </w:t>
      </w:r>
    </w:p>
    <w:p w14:paraId="107E88A7"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In ragione del trasferimento delle suddette competenze per via legislativa, è stato introdotto un </w:t>
      </w:r>
      <w:r w:rsidRPr="00DC205C">
        <w:rPr>
          <w:rFonts w:asciiTheme="majorHAnsi" w:eastAsiaTheme="minorHAnsi" w:hAnsiTheme="majorHAnsi" w:cstheme="majorHAnsi"/>
          <w:i/>
          <w:iCs/>
        </w:rPr>
        <w:t>contributo di funzionamento</w:t>
      </w:r>
      <w:r w:rsidRPr="00DC205C">
        <w:rPr>
          <w:rFonts w:asciiTheme="majorHAnsi" w:eastAsiaTheme="minorHAnsi" w:hAnsiTheme="majorHAnsi" w:cstheme="majorHAnsi"/>
        </w:rPr>
        <w:t xml:space="preserve"> (aggiuntivo agli altri canoni) fino all’1 per mille del fatturato </w:t>
      </w:r>
      <w:proofErr w:type="gramStart"/>
      <w:r w:rsidRPr="00DC205C">
        <w:rPr>
          <w:rFonts w:asciiTheme="majorHAnsi" w:eastAsiaTheme="minorHAnsi" w:hAnsiTheme="majorHAnsi" w:cstheme="majorHAnsi"/>
        </w:rPr>
        <w:t>posto  a</w:t>
      </w:r>
      <w:proofErr w:type="gramEnd"/>
      <w:r w:rsidRPr="00DC205C">
        <w:rPr>
          <w:rFonts w:asciiTheme="majorHAnsi" w:eastAsiaTheme="minorHAnsi" w:hAnsiTheme="majorHAnsi" w:cstheme="majorHAnsi"/>
        </w:rPr>
        <w:t xml:space="preserve"> carico dei soggetti variamente soggetti alle competenze dell’Autorità di regolazione dei trasporti. </w:t>
      </w:r>
    </w:p>
    <w:p w14:paraId="614D21EB" w14:textId="77777777" w:rsidR="006D7EA5"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In ragione dell’applicazione del principio di proporzionalità di cui all’art. 56 del TFUE e del divieto di aiuti di stato di cui all’art. 107 TFUE, il canone demaniale deve essere, proporzionalmente ridotto dell’importo del contributo versato all’Autorità di regolazione dei trasporti ai sensi dell’art. 37 del </w:t>
      </w:r>
      <w:proofErr w:type="spellStart"/>
      <w:r w:rsidRPr="00DC205C">
        <w:rPr>
          <w:rFonts w:asciiTheme="majorHAnsi" w:eastAsiaTheme="minorHAnsi" w:hAnsiTheme="majorHAnsi" w:cstheme="majorHAnsi"/>
        </w:rPr>
        <w:t>d.l.</w:t>
      </w:r>
      <w:proofErr w:type="spellEnd"/>
      <w:r w:rsidRPr="00DC205C">
        <w:rPr>
          <w:rFonts w:asciiTheme="majorHAnsi" w:eastAsiaTheme="minorHAnsi" w:hAnsiTheme="majorHAnsi" w:cstheme="majorHAnsi"/>
        </w:rPr>
        <w:t xml:space="preserve"> n. 201/2011.</w:t>
      </w:r>
    </w:p>
    <w:p w14:paraId="160E700D" w14:textId="77777777" w:rsidR="005D103F" w:rsidRPr="00DC205C" w:rsidRDefault="005D103F" w:rsidP="00DC205C">
      <w:pPr>
        <w:spacing w:line="276" w:lineRule="auto"/>
        <w:ind w:left="-284" w:right="-284"/>
        <w:jc w:val="both"/>
        <w:rPr>
          <w:rFonts w:asciiTheme="majorHAnsi" w:eastAsiaTheme="minorHAnsi" w:hAnsiTheme="majorHAnsi" w:cstheme="majorHAnsi"/>
        </w:rPr>
      </w:pPr>
    </w:p>
    <w:p w14:paraId="55F5DDB7" w14:textId="1A85F2A4" w:rsidR="006D7EA5" w:rsidRPr="005D103F" w:rsidRDefault="006D7EA5" w:rsidP="005D103F">
      <w:pPr>
        <w:pStyle w:val="Paragrafoelenco"/>
        <w:numPr>
          <w:ilvl w:val="0"/>
          <w:numId w:val="16"/>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 xml:space="preserve">Piano strategico nazionale della portualità e della logistica </w:t>
      </w:r>
    </w:p>
    <w:p w14:paraId="67F64E08"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Art ….</w:t>
      </w:r>
    </w:p>
    <w:p w14:paraId="6F1C6870"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Piano strategico nazionale della portualità e della logistica</w:t>
      </w:r>
    </w:p>
    <w:p w14:paraId="2FDF813B"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L’art. 29 Decreto Legge 12 settembre 2014, n. 133 è sostituito dal seguente:</w:t>
      </w:r>
    </w:p>
    <w:p w14:paraId="517008C3"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p>
    <w:p w14:paraId="45280FB4"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r w:rsidRPr="00DC205C">
        <w:rPr>
          <w:rFonts w:asciiTheme="majorHAnsi" w:eastAsiaTheme="minorHAnsi" w:hAnsiTheme="majorHAnsi" w:cstheme="majorHAnsi"/>
          <w:i/>
          <w:iCs/>
        </w:rPr>
        <w:t>“1. Al fine di promuovere il mercato e la concorrenza dei porti e della logistica, di migliorare la competitività del sistema portuale e logistico, di agevolare la crescita dei traffici delle merci e delle persone e la promozione dell'intermodalità nel traffico merci, è adottato, con decreto del Presidente del Consiglio dei ministri, su proposta del Ministro delle infrastrutture e dei trasporti, entro il 31 dicembre di ogni triennio a partire dall’anno di entrata in vigore del presente articolo, previa deliberazione del Consiglio dei Ministri, il piano strategico nazionale della portualità e della logistica che include l’elenco delle opere strategiche da realizzarsi nelle circoscrizioni portuali. Lo schema del decreto recante il piano di cui al presente comma è trasmesso alle Camere ai fini dell'acquisizione del parere delle competenti Commissioni parlamentari. Il parere è espresso entro trenta giorni dalla data di assegnazione, decorsi i quali il decreto può essere comunque emanato. Il piano può essere modificato nel corso del triennio di vigenza con la medesima procedura di adozione.”</w:t>
      </w:r>
    </w:p>
    <w:p w14:paraId="74DB9AC8" w14:textId="77777777" w:rsidR="00904C59" w:rsidRPr="00DC205C" w:rsidRDefault="00904C59" w:rsidP="00DC205C">
      <w:pPr>
        <w:spacing w:line="276" w:lineRule="auto"/>
        <w:ind w:left="-284" w:right="-284"/>
        <w:jc w:val="both"/>
        <w:rPr>
          <w:rFonts w:asciiTheme="majorHAnsi" w:eastAsiaTheme="minorHAnsi" w:hAnsiTheme="majorHAnsi" w:cstheme="majorHAnsi"/>
          <w:i/>
          <w:iCs/>
        </w:rPr>
      </w:pPr>
    </w:p>
    <w:p w14:paraId="400D5FFF" w14:textId="2CEF56A4" w:rsidR="006D7EA5" w:rsidRPr="00DC205C" w:rsidRDefault="006D7EA5" w:rsidP="00DC205C">
      <w:pPr>
        <w:spacing w:line="276" w:lineRule="auto"/>
        <w:ind w:left="-284" w:right="-284"/>
        <w:jc w:val="both"/>
        <w:rPr>
          <w:rFonts w:asciiTheme="majorHAnsi" w:eastAsiaTheme="minorHAnsi" w:hAnsiTheme="majorHAnsi" w:cstheme="majorHAnsi"/>
          <w:b/>
        </w:rPr>
      </w:pPr>
      <w:r w:rsidRPr="00DC205C">
        <w:rPr>
          <w:rFonts w:asciiTheme="majorHAnsi" w:eastAsiaTheme="minorHAnsi" w:hAnsiTheme="majorHAnsi" w:cstheme="majorHAnsi"/>
          <w:b/>
        </w:rPr>
        <w:t>Relazione di accompagnamento</w:t>
      </w:r>
    </w:p>
    <w:p w14:paraId="5C287DBF"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La presente norma ha la finalità di rendere coerente la realizzazione delle infrastrutture strategiche da parte delle Autorità di sistema portuale con la programmazione nazionale ed europea.</w:t>
      </w:r>
    </w:p>
    <w:p w14:paraId="186CE680"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 xml:space="preserve">Infatti la precedente norma, prevedeva l’elaborazione di un piano strategico nazionale della portualità e della logistica da rendere “una tantum” ossia esclusivamente una volta ed entro 90 giorni dall’entrata in vigore della legge n. 133 /2014. </w:t>
      </w:r>
      <w:r w:rsidRPr="00DC205C">
        <w:rPr>
          <w:rFonts w:asciiTheme="majorHAnsi" w:eastAsiaTheme="minorHAnsi" w:hAnsiTheme="majorHAnsi" w:cstheme="majorHAnsi"/>
        </w:rPr>
        <w:br/>
        <w:t>La norma proposta rende strutturale l’elaborazione del piano nazionale della portualità e della logistica e vi include l’elenco delle opere strategiche.</w:t>
      </w:r>
    </w:p>
    <w:p w14:paraId="24D3755F" w14:textId="77777777" w:rsidR="006D7EA5" w:rsidRPr="00DC205C" w:rsidRDefault="006D7EA5" w:rsidP="00DC205C">
      <w:pPr>
        <w:spacing w:line="276" w:lineRule="auto"/>
        <w:ind w:left="-284" w:right="-284"/>
        <w:jc w:val="both"/>
        <w:rPr>
          <w:rFonts w:asciiTheme="majorHAnsi" w:eastAsiaTheme="minorHAnsi" w:hAnsiTheme="majorHAnsi" w:cstheme="majorHAnsi"/>
        </w:rPr>
      </w:pPr>
      <w:r w:rsidRPr="00DC205C">
        <w:rPr>
          <w:rFonts w:asciiTheme="majorHAnsi" w:eastAsiaTheme="minorHAnsi" w:hAnsiTheme="majorHAnsi" w:cstheme="majorHAnsi"/>
        </w:rPr>
        <w:t>A tal fine il piano e le relative opere diventano vincolanti per le Autorità di sistema portuali in quanto devono recepire i relativi contenuti del documento di programmazione strategica di sistema (DPSS) previsto dall’art. 5 della legge n. 84/1994.</w:t>
      </w:r>
    </w:p>
    <w:p w14:paraId="1EA14F29" w14:textId="46A4BDF3" w:rsidR="00904C59" w:rsidRPr="00DC205C" w:rsidRDefault="005D103F" w:rsidP="005D103F">
      <w:pPr>
        <w:tabs>
          <w:tab w:val="left" w:pos="960"/>
        </w:tabs>
        <w:spacing w:line="276" w:lineRule="auto"/>
        <w:ind w:right="-284"/>
        <w:jc w:val="both"/>
        <w:rPr>
          <w:rFonts w:asciiTheme="majorHAnsi" w:eastAsiaTheme="minorHAnsi" w:hAnsiTheme="majorHAnsi" w:cstheme="majorHAnsi"/>
        </w:rPr>
      </w:pPr>
      <w:r>
        <w:rPr>
          <w:rFonts w:asciiTheme="majorHAnsi" w:eastAsiaTheme="minorHAnsi" w:hAnsiTheme="majorHAnsi" w:cstheme="majorHAnsi"/>
        </w:rPr>
        <w:tab/>
      </w:r>
    </w:p>
    <w:p w14:paraId="11668CF7" w14:textId="77777777" w:rsidR="00334EE4" w:rsidRPr="005D103F" w:rsidRDefault="00334EE4" w:rsidP="005D103F">
      <w:pPr>
        <w:spacing w:after="160" w:line="276" w:lineRule="auto"/>
        <w:ind w:left="-284" w:right="-284" w:hanging="360"/>
        <w:contextualSpacing/>
        <w:outlineLvl w:val="0"/>
        <w:rPr>
          <w:rFonts w:asciiTheme="majorHAnsi" w:eastAsiaTheme="minorHAnsi" w:hAnsiTheme="majorHAnsi" w:cstheme="majorHAnsi"/>
          <w:b/>
          <w:bCs/>
          <w:color w:val="C0504D" w:themeColor="accent2"/>
          <w:kern w:val="2"/>
          <w14:ligatures w14:val="standardContextual"/>
        </w:rPr>
      </w:pPr>
      <w:r w:rsidRPr="005D103F">
        <w:rPr>
          <w:rFonts w:asciiTheme="majorHAnsi" w:eastAsiaTheme="minorHAnsi" w:hAnsiTheme="majorHAnsi" w:cstheme="majorHAnsi"/>
          <w:b/>
          <w:bCs/>
          <w:color w:val="C0504D" w:themeColor="accent2"/>
          <w:kern w:val="2"/>
          <w14:ligatures w14:val="standardContextual"/>
        </w:rPr>
        <w:t>INTERMODALITÀ FERROVIARIA</w:t>
      </w:r>
    </w:p>
    <w:p w14:paraId="3177939A" w14:textId="77777777" w:rsidR="00904C59" w:rsidRPr="00DC205C" w:rsidRDefault="00904C59" w:rsidP="00DC205C">
      <w:pPr>
        <w:spacing w:after="160" w:line="276" w:lineRule="auto"/>
        <w:ind w:left="-284" w:right="-284" w:hanging="360"/>
        <w:contextualSpacing/>
        <w:jc w:val="center"/>
        <w:outlineLvl w:val="0"/>
        <w:rPr>
          <w:rFonts w:asciiTheme="majorHAnsi" w:eastAsiaTheme="minorHAnsi" w:hAnsiTheme="majorHAnsi" w:cstheme="majorHAnsi"/>
          <w:b/>
          <w:bCs/>
          <w:kern w:val="2"/>
          <w14:ligatures w14:val="standardContextual"/>
        </w:rPr>
      </w:pPr>
    </w:p>
    <w:p w14:paraId="263A9023" w14:textId="0F3741E3" w:rsidR="00334EE4" w:rsidRPr="005D103F" w:rsidRDefault="00334EE4" w:rsidP="005D103F">
      <w:pPr>
        <w:pStyle w:val="Paragrafoelenco"/>
        <w:numPr>
          <w:ilvl w:val="0"/>
          <w:numId w:val="17"/>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Proposta di modifica all’art. 13-bis del decreto-legge 21 marzo 2022, n. 21</w:t>
      </w:r>
      <w:r w:rsidRPr="005D103F">
        <w:rPr>
          <w:color w:val="1F497D" w:themeColor="text2"/>
          <w:vertAlign w:val="superscript"/>
        </w:rPr>
        <w:footnoteReference w:id="1"/>
      </w:r>
      <w:r w:rsidRPr="005D103F">
        <w:rPr>
          <w:rFonts w:asciiTheme="majorHAnsi" w:eastAsia="Calibri" w:hAnsiTheme="majorHAnsi" w:cstheme="majorHAnsi"/>
          <w:b/>
          <w:bCs/>
          <w:color w:val="1F497D" w:themeColor="text2"/>
        </w:rPr>
        <w:t xml:space="preserve"> , convertito con modificazioni dalla L. 20 maggio 2022, n. 51 (G.U. 20/05/2022, n. 117).</w:t>
      </w:r>
    </w:p>
    <w:p w14:paraId="664BA846" w14:textId="6510555E" w:rsidR="0052509E"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 </w:t>
      </w:r>
      <w:r w:rsidR="0052509E" w:rsidRPr="00DC205C">
        <w:rPr>
          <w:rFonts w:asciiTheme="majorHAnsi" w:hAnsiTheme="majorHAnsi" w:cstheme="majorHAnsi"/>
        </w:rPr>
        <w:t>D.L. 21/2022 – Art 13-bis</w:t>
      </w:r>
    </w:p>
    <w:p w14:paraId="2DFEFF1B" w14:textId="7F83719F"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Testo vigente al 25.01.2023</w:t>
      </w:r>
    </w:p>
    <w:p w14:paraId="720AEEEB" w14:textId="7D86D8E7" w:rsidR="0052509E" w:rsidRPr="00DC205C" w:rsidRDefault="0052509E" w:rsidP="00DC205C">
      <w:pPr>
        <w:spacing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Canoni di concessione per aree demaniali in ambito portuale, per la promozione del traffico ferroviario delle merci</w:t>
      </w:r>
    </w:p>
    <w:p w14:paraId="4EE491C1"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6.</w:t>
      </w:r>
      <w:r w:rsidRPr="00DC205C">
        <w:rPr>
          <w:rFonts w:asciiTheme="majorHAnsi" w:hAnsiTheme="majorHAnsi" w:cstheme="majorHAnsi"/>
          <w:i/>
          <w:iCs/>
        </w:rPr>
        <w:tab/>
        <w:t xml:space="preserve">Al fine di promuovere il traffico ferroviario delle merci in ambito portuale, ciascuna Autorità di sistema portuale, relativamente a concessioni in essere per aree demaniali su cui insistono attività </w:t>
      </w:r>
      <w:proofErr w:type="spellStart"/>
      <w:r w:rsidRPr="00DC205C">
        <w:rPr>
          <w:rFonts w:asciiTheme="majorHAnsi" w:hAnsiTheme="majorHAnsi" w:cstheme="majorHAnsi"/>
          <w:i/>
          <w:iCs/>
        </w:rPr>
        <w:t>terminalistiche</w:t>
      </w:r>
      <w:proofErr w:type="spellEnd"/>
      <w:r w:rsidRPr="00DC205C">
        <w:rPr>
          <w:rFonts w:asciiTheme="majorHAnsi" w:hAnsiTheme="majorHAnsi" w:cstheme="majorHAnsi"/>
          <w:i/>
          <w:iCs/>
        </w:rPr>
        <w:t>, può riconoscere, nell’ambito delle risorse disponibili a legislazione vigente, nel rispetto degli equilibri di bilancio e senza utilizzo dell’avanzo di amministrazione, nonché’ nel rispetto dei limiti minimi dei canoni di cui all’articolo 18 della legge 28 gennaio 1994, n. 84, una progressiva diminuzione dei canoni di concessione in funzione del raggiungimento di specifici obiettivi di traffico ferroviario portuale generato da ciascuna area o comunque ad essa riconducibile.</w:t>
      </w:r>
    </w:p>
    <w:p w14:paraId="03B422CD" w14:textId="31B87115"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Ciascuna Autorità di sistema portuale stabilisce gli obiettivi specifici di traffico ferroviario, l’entità e le modalità di determinazione dello sconto compatibilmente con le risorse disponibili nei propri bilanci.</w:t>
      </w:r>
    </w:p>
    <w:p w14:paraId="2FA10A1B" w14:textId="77777777" w:rsidR="0052509E" w:rsidRPr="00DC205C" w:rsidRDefault="0052509E" w:rsidP="00DC205C">
      <w:pPr>
        <w:spacing w:line="276" w:lineRule="auto"/>
        <w:ind w:left="-284" w:right="-284"/>
        <w:jc w:val="both"/>
        <w:rPr>
          <w:rFonts w:asciiTheme="majorHAnsi" w:hAnsiTheme="majorHAnsi" w:cstheme="majorHAnsi"/>
        </w:rPr>
      </w:pPr>
    </w:p>
    <w:p w14:paraId="18476927"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rPr>
        <w:t>D.L. 21/2022 – Art 13-bis</w:t>
      </w:r>
    </w:p>
    <w:p w14:paraId="5D65083C" w14:textId="0699AB8D"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proposta di modifica</w:t>
      </w:r>
    </w:p>
    <w:p w14:paraId="7B6D647C" w14:textId="50BFC2CA" w:rsidR="0052509E" w:rsidRPr="00DC205C" w:rsidRDefault="0052509E"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b/>
          <w:bCs/>
        </w:rPr>
        <w:t>Canoni di concessione per aree demaniali in ambito portuale, per la promozione del traffico ferroviario delle merci</w:t>
      </w:r>
    </w:p>
    <w:p w14:paraId="4B1644E6" w14:textId="77777777" w:rsidR="0052509E" w:rsidRPr="00DC205C" w:rsidRDefault="0052509E" w:rsidP="00DC205C">
      <w:pPr>
        <w:spacing w:line="276" w:lineRule="auto"/>
        <w:ind w:left="-284" w:right="-284"/>
        <w:jc w:val="both"/>
        <w:rPr>
          <w:rFonts w:asciiTheme="majorHAnsi" w:hAnsiTheme="majorHAnsi" w:cstheme="majorHAnsi"/>
          <w:b/>
          <w:bCs/>
        </w:rPr>
      </w:pPr>
    </w:p>
    <w:p w14:paraId="0F2EB6B4"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 xml:space="preserve">Al fine di promuovere il traffico ferroviario delle merci in ambito portuale, le autorità di sistema portuale, relativamente a concessioni in essere per aree demaniali su cui insistono attività </w:t>
      </w:r>
      <w:proofErr w:type="spellStart"/>
      <w:r w:rsidRPr="00DC205C">
        <w:rPr>
          <w:rFonts w:asciiTheme="majorHAnsi" w:hAnsiTheme="majorHAnsi" w:cstheme="majorHAnsi"/>
          <w:i/>
          <w:iCs/>
        </w:rPr>
        <w:t>terminalistiche</w:t>
      </w:r>
      <w:proofErr w:type="spellEnd"/>
      <w:r w:rsidRPr="00DC205C">
        <w:rPr>
          <w:rFonts w:asciiTheme="majorHAnsi" w:hAnsiTheme="majorHAnsi" w:cstheme="majorHAnsi"/>
          <w:i/>
          <w:iCs/>
        </w:rPr>
        <w:t>, riconoscono, fino al 31 dicembre 2025 e nel rispetto dei limiti minimi dei canoni di cui all’articolo 18 della legge 28 gennaio 1994, n. 84, una progressiva diminuzione dei canoni di concessione in funzione del raggiungimento di specifici obiettivi di traffico ferroviario portuale generato da ciascuna area o comunque ad essa riconducibile.</w:t>
      </w:r>
    </w:p>
    <w:p w14:paraId="0E23D5BC"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2. Con decreto direttoriale, da emanarsi entro novanta giorni dall’entrata in vigore della presente disposizione, il Ministero delle infrastrutture e dei trasporti, sentite le Autorità di Sistema Portuale, fissa gli obiettivi di traffico ferroviario, anche differenziati per ciascun ambito portuale, l’entità e le modalità di determinazione dello sconto sul canone di concessione.</w:t>
      </w:r>
    </w:p>
    <w:p w14:paraId="0FCB4592" w14:textId="77777777" w:rsidR="0052509E" w:rsidRPr="00DC205C" w:rsidRDefault="0052509E" w:rsidP="00DC205C">
      <w:pPr>
        <w:spacing w:line="276" w:lineRule="auto"/>
        <w:ind w:left="-284" w:right="-284"/>
        <w:jc w:val="both"/>
        <w:rPr>
          <w:rFonts w:asciiTheme="majorHAnsi" w:hAnsiTheme="majorHAnsi" w:cstheme="majorHAnsi"/>
          <w:i/>
          <w:iCs/>
        </w:rPr>
      </w:pPr>
      <w:r w:rsidRPr="00DC205C">
        <w:rPr>
          <w:rFonts w:asciiTheme="majorHAnsi" w:hAnsiTheme="majorHAnsi" w:cstheme="majorHAnsi"/>
          <w:i/>
          <w:iCs/>
        </w:rPr>
        <w:t xml:space="preserve">3. Con il medesimo decreto di cui al comma 2, viene istituito presso il Ministero delle infrastrutture e dei trasporti un fondo avente la finalità di riequilibrare, qualora necessario, le minori risorse derivanti dal riconoscimento dell’incentivo previsto al comma 1. </w:t>
      </w:r>
    </w:p>
    <w:p w14:paraId="2149CDA4" w14:textId="0438B554" w:rsidR="0052509E" w:rsidRPr="00DC205C" w:rsidRDefault="0052509E"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i/>
          <w:iCs/>
        </w:rPr>
        <w:t>4. È abrogato l’art. 47 comma 11-quater del decreto-legge 24 aprile 2017, n. 50, convertito con modificazioni dalla legge 21 giugno 2017, n. 96. Sino all’entrata in vigore della presente disposizione restano comunque validi gli sconti concessi dalle autorità di sistema portuale in virtù della disposizione di cui al primo periodo</w:t>
      </w:r>
      <w:r w:rsidRPr="00DC205C">
        <w:rPr>
          <w:rFonts w:asciiTheme="majorHAnsi" w:hAnsiTheme="majorHAnsi" w:cstheme="majorHAnsi"/>
        </w:rPr>
        <w:t>.</w:t>
      </w:r>
    </w:p>
    <w:p w14:paraId="33B1464B" w14:textId="77777777" w:rsidR="005D103F" w:rsidRDefault="00334EE4" w:rsidP="00DC205C">
      <w:pPr>
        <w:spacing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Relazione</w:t>
      </w:r>
      <w:r w:rsidR="005D103F">
        <w:rPr>
          <w:rFonts w:asciiTheme="majorHAnsi" w:hAnsiTheme="majorHAnsi" w:cstheme="majorHAnsi"/>
          <w:b/>
          <w:bCs/>
          <w:i/>
          <w:iCs/>
        </w:rPr>
        <w:t xml:space="preserve"> </w:t>
      </w:r>
    </w:p>
    <w:p w14:paraId="29A8766F" w14:textId="32E27D25" w:rsidR="00334EE4" w:rsidRPr="00DC205C" w:rsidRDefault="005D103F" w:rsidP="00DC205C">
      <w:pPr>
        <w:spacing w:line="276" w:lineRule="auto"/>
        <w:ind w:left="-284" w:right="-284"/>
        <w:jc w:val="both"/>
        <w:rPr>
          <w:rFonts w:asciiTheme="majorHAnsi" w:hAnsiTheme="majorHAnsi" w:cstheme="majorHAnsi"/>
        </w:rPr>
      </w:pPr>
      <w:r>
        <w:rPr>
          <w:rFonts w:asciiTheme="majorHAnsi" w:hAnsiTheme="majorHAnsi" w:cstheme="majorHAnsi"/>
          <w:b/>
          <w:bCs/>
          <w:i/>
          <w:iCs/>
        </w:rPr>
        <w:t>L</w:t>
      </w:r>
      <w:r w:rsidR="00334EE4" w:rsidRPr="00DC205C">
        <w:rPr>
          <w:rFonts w:asciiTheme="majorHAnsi" w:hAnsiTheme="majorHAnsi" w:cstheme="majorHAnsi"/>
        </w:rPr>
        <w:t xml:space="preserve">a proposta di cui alla nuova disposizione mira a rendere effettiva ed unitaria a livello nazionale, l’incentivazione del traffico merci “via ferro” introdotta, in via meramente teorica, dall’art. 47 comma 11-quater del decreto-legge 24 aprile 2017, n. 50 attraverso il quale il concreto effetto incentivante viene lasciato alla mera discrezionalità di ciascuna </w:t>
      </w:r>
      <w:proofErr w:type="spellStart"/>
      <w:r w:rsidR="00334EE4" w:rsidRPr="00DC205C">
        <w:rPr>
          <w:rFonts w:asciiTheme="majorHAnsi" w:hAnsiTheme="majorHAnsi" w:cstheme="majorHAnsi"/>
        </w:rPr>
        <w:t>AdSP</w:t>
      </w:r>
      <w:proofErr w:type="spellEnd"/>
      <w:r w:rsidR="00334EE4" w:rsidRPr="00DC205C">
        <w:rPr>
          <w:rFonts w:asciiTheme="majorHAnsi" w:hAnsiTheme="majorHAnsi" w:cstheme="majorHAnsi"/>
        </w:rPr>
        <w:t>.</w:t>
      </w:r>
    </w:p>
    <w:p w14:paraId="3ED4512C" w14:textId="77777777" w:rsidR="00334EE4" w:rsidRPr="00DC205C" w:rsidRDefault="00334EE4" w:rsidP="00DC205C">
      <w:pPr>
        <w:spacing w:line="276" w:lineRule="auto"/>
        <w:ind w:left="-284" w:right="-284"/>
        <w:jc w:val="both"/>
        <w:rPr>
          <w:rFonts w:asciiTheme="majorHAnsi" w:hAnsiTheme="majorHAnsi" w:cstheme="majorHAnsi"/>
        </w:rPr>
      </w:pPr>
    </w:p>
    <w:p w14:paraId="5774B6F8" w14:textId="4DF5A28B" w:rsidR="00334EE4" w:rsidRPr="005D103F" w:rsidRDefault="00334EE4" w:rsidP="005D103F">
      <w:pPr>
        <w:pStyle w:val="Paragrafoelenco"/>
        <w:numPr>
          <w:ilvl w:val="0"/>
          <w:numId w:val="17"/>
        </w:numPr>
        <w:spacing w:line="276" w:lineRule="auto"/>
        <w:ind w:right="-284"/>
        <w:jc w:val="both"/>
        <w:outlineLvl w:val="1"/>
        <w:rPr>
          <w:rFonts w:asciiTheme="majorHAnsi" w:eastAsia="Calibri" w:hAnsiTheme="majorHAnsi" w:cstheme="majorHAnsi"/>
          <w:b/>
          <w:bCs/>
          <w:color w:val="1F497D" w:themeColor="text2"/>
        </w:rPr>
      </w:pPr>
      <w:r w:rsidRPr="005D103F">
        <w:rPr>
          <w:rFonts w:asciiTheme="majorHAnsi" w:eastAsia="Calibri" w:hAnsiTheme="majorHAnsi" w:cstheme="majorHAnsi"/>
          <w:b/>
          <w:bCs/>
          <w:color w:val="1F497D" w:themeColor="text2"/>
        </w:rPr>
        <w:t>Promozione dell’intermodalità porto-ferrovia</w:t>
      </w:r>
    </w:p>
    <w:p w14:paraId="239DF002"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All’art. 9 bis del DL 68 2022 sono apportate le seguenti modifiche: </w:t>
      </w:r>
    </w:p>
    <w:p w14:paraId="7D0D4D6C" w14:textId="77777777" w:rsidR="0052509E" w:rsidRPr="00DC205C" w:rsidRDefault="0052509E" w:rsidP="00DC205C">
      <w:pPr>
        <w:spacing w:line="276" w:lineRule="auto"/>
        <w:ind w:left="-284" w:right="-284"/>
        <w:jc w:val="both"/>
        <w:rPr>
          <w:rFonts w:asciiTheme="majorHAnsi" w:eastAsia="Times New Roman" w:hAnsiTheme="majorHAnsi" w:cstheme="majorHAnsi"/>
          <w:i/>
          <w:iCs/>
          <w:lang w:eastAsia="it-IT"/>
        </w:rPr>
      </w:pPr>
      <w:r w:rsidRPr="00DC205C">
        <w:rPr>
          <w:rFonts w:asciiTheme="majorHAnsi" w:hAnsiTheme="majorHAnsi" w:cstheme="majorHAnsi"/>
          <w:i/>
          <w:iCs/>
        </w:rPr>
        <w:t>1. Al comma 1, le parole “può riconoscere” sono sostituite dalle parole</w:t>
      </w:r>
      <w:r w:rsidRPr="00DC205C">
        <w:rPr>
          <w:rFonts w:asciiTheme="majorHAnsi" w:eastAsia="Times New Roman" w:hAnsiTheme="majorHAnsi" w:cstheme="majorHAnsi"/>
          <w:i/>
          <w:iCs/>
          <w:lang w:eastAsia="it-IT"/>
        </w:rPr>
        <w:t xml:space="preserve"> “</w:t>
      </w:r>
      <w:r w:rsidRPr="00DC205C">
        <w:rPr>
          <w:rFonts w:asciiTheme="majorHAnsi" w:hAnsiTheme="majorHAnsi" w:cstheme="majorHAnsi"/>
          <w:i/>
          <w:iCs/>
        </w:rPr>
        <w:t xml:space="preserve">riconosce, fino al 31 dicembre 2025” </w:t>
      </w:r>
    </w:p>
    <w:p w14:paraId="02601A21" w14:textId="77777777" w:rsidR="0052509E" w:rsidRPr="00DC205C" w:rsidRDefault="0052509E" w:rsidP="00DC205C">
      <w:pPr>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2. All’art. 9 bis del DL 68/2022, dopo il comma 1 sono aggiunti i seguenti commi:</w:t>
      </w:r>
    </w:p>
    <w:p w14:paraId="3BD71B10" w14:textId="77777777" w:rsidR="0052509E" w:rsidRPr="00DC205C" w:rsidRDefault="0052509E" w:rsidP="00DC205C">
      <w:pPr>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“2. </w:t>
      </w:r>
      <w:r w:rsidRPr="00DC205C">
        <w:rPr>
          <w:rFonts w:asciiTheme="majorHAnsi" w:hAnsiTheme="majorHAnsi" w:cstheme="majorHAnsi"/>
          <w:i/>
          <w:iCs/>
        </w:rPr>
        <w:t xml:space="preserve">Con decreto direttoriale, da emanarsi entro novanta giorni dall’entrata in vigore della presente disposizione, il Ministero delle infrastrutture e della mobilità sostenibili, sentite le Autorità di sistema portuale e le associazioni di categoria maggiormente rappresentative della categoria dei terminal </w:t>
      </w:r>
      <w:proofErr w:type="spellStart"/>
      <w:r w:rsidRPr="00DC205C">
        <w:rPr>
          <w:rFonts w:asciiTheme="majorHAnsi" w:hAnsiTheme="majorHAnsi" w:cstheme="majorHAnsi"/>
          <w:i/>
          <w:iCs/>
        </w:rPr>
        <w:t>operators</w:t>
      </w:r>
      <w:proofErr w:type="spellEnd"/>
      <w:r w:rsidRPr="00DC205C">
        <w:rPr>
          <w:rFonts w:asciiTheme="majorHAnsi" w:hAnsiTheme="majorHAnsi" w:cstheme="majorHAnsi"/>
          <w:i/>
          <w:iCs/>
        </w:rPr>
        <w:t>, fissa gli obiettivi di traffico ferroviario, anche differenziati per ciascun ambito portuale, l’entità e le modalità di determinazione dello sconto sul canone di concessione.</w:t>
      </w:r>
    </w:p>
    <w:p w14:paraId="4635FBB2" w14:textId="77777777"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3. </w:t>
      </w:r>
      <w:r w:rsidRPr="00DC205C">
        <w:rPr>
          <w:rFonts w:asciiTheme="majorHAnsi" w:hAnsiTheme="majorHAnsi" w:cstheme="majorHAnsi"/>
          <w:i/>
          <w:iCs/>
        </w:rPr>
        <w:t xml:space="preserve">Con il medesimo decreto di cui al comma 2, viene istituito presso il Ministero delle infrastrutture e della mobilità sostenibili un fondo avente la finalità di riequilibrare, qualora necessario, le minori risorse derivanti dal riconoscimento dell’incentivo previsto al comma 1. </w:t>
      </w:r>
    </w:p>
    <w:p w14:paraId="2005C611" w14:textId="77777777"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4. </w:t>
      </w:r>
      <w:r w:rsidRPr="00DC205C">
        <w:rPr>
          <w:rFonts w:asciiTheme="majorHAnsi" w:hAnsiTheme="majorHAnsi" w:cstheme="majorHAnsi"/>
          <w:i/>
          <w:iCs/>
        </w:rPr>
        <w:t>È abrogato l’art. 47 comma 11-quater del decreto-legge 24 aprile 2017, n. 50, convertito con modificazioni dalla legge 21 giugno 2017, n. 96. Sino all’entrata in vigore della presente disposizione restano comunque validi gli sconti concessi dalle autorità di sistema portuale in virtù della disposizione di cui al primo periodo.</w:t>
      </w:r>
    </w:p>
    <w:p w14:paraId="52E57BC1" w14:textId="77777777"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5. </w:t>
      </w:r>
      <w:r w:rsidRPr="00DC205C">
        <w:rPr>
          <w:rFonts w:asciiTheme="majorHAnsi" w:hAnsiTheme="majorHAnsi" w:cstheme="majorHAnsi"/>
          <w:i/>
          <w:iCs/>
        </w:rPr>
        <w:t xml:space="preserve">Qualora il traffico ferroviario in origine o destinazione da un porto collocato sulla rete Core o </w:t>
      </w:r>
      <w:proofErr w:type="spellStart"/>
      <w:r w:rsidRPr="00DC205C">
        <w:rPr>
          <w:rFonts w:asciiTheme="majorHAnsi" w:hAnsiTheme="majorHAnsi" w:cstheme="majorHAnsi"/>
          <w:i/>
          <w:iCs/>
        </w:rPr>
        <w:t>comprehensive</w:t>
      </w:r>
      <w:proofErr w:type="spellEnd"/>
      <w:r w:rsidRPr="00DC205C">
        <w:rPr>
          <w:rFonts w:asciiTheme="majorHAnsi" w:hAnsiTheme="majorHAnsi" w:cstheme="majorHAnsi"/>
          <w:i/>
          <w:iCs/>
        </w:rPr>
        <w:t xml:space="preserve"> delle TEN-T, di cui al Regolamento 1315/2013/UE, sia diretto verso, o provenga da, un interporto, o centro smistamento merci, collocato sulla medesima rete con modalità ferroviaria, la tariffa per l’utilizzo dell’infrastruttura ferroviaria e la tariffa per l’erogazione delle operazioni di sbarco e imbarco sono compensate dallo Stato attraverso il fondo di cui al comma 2, nella misura massima del 50%. Con Decreto direttoriale sono stabilite le modalità e i tempi di accesso al fondo da parte dei gestori delle infrastrutture ferroviari, dei gestori degli interporti e dei concessionari ex art. 18 legge n. 84/1994, anche raggruppati in consorzio.</w:t>
      </w:r>
    </w:p>
    <w:p w14:paraId="3A53A25C" w14:textId="527E5090" w:rsidR="0052509E" w:rsidRPr="00DC205C" w:rsidRDefault="0052509E" w:rsidP="00DC20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ight="-284"/>
        <w:jc w:val="both"/>
        <w:rPr>
          <w:rFonts w:asciiTheme="majorHAnsi" w:eastAsia="Times New Roman" w:hAnsiTheme="majorHAnsi" w:cstheme="majorHAnsi"/>
          <w:i/>
          <w:iCs/>
          <w:lang w:eastAsia="it-IT"/>
        </w:rPr>
      </w:pPr>
      <w:r w:rsidRPr="00DC205C">
        <w:rPr>
          <w:rFonts w:asciiTheme="majorHAnsi" w:eastAsia="Times New Roman" w:hAnsiTheme="majorHAnsi" w:cstheme="majorHAnsi"/>
          <w:i/>
          <w:iCs/>
          <w:lang w:eastAsia="it-IT"/>
        </w:rPr>
        <w:t xml:space="preserve">6. </w:t>
      </w:r>
      <w:r w:rsidRPr="00DC205C">
        <w:rPr>
          <w:rFonts w:asciiTheme="majorHAnsi" w:hAnsiTheme="majorHAnsi" w:cstheme="majorHAnsi"/>
          <w:i/>
          <w:iCs/>
        </w:rPr>
        <w:t>I concessionari di spazi demaniali in ambito portuale ai sensi dell’art. 18 della legge n. 84/1994 beneficiano di un credito d’imposta pari al 100% per i costi relativi alla realizzazione, rimessa in pristino e manutenzione straordinaria, delle infrastrutture ferroviarie localizzate sui terminali oggetto di concessione che consentano un collegamento con la rete ferroviaria di cui al Regolamento n. 1315/2013.”</w:t>
      </w:r>
    </w:p>
    <w:p w14:paraId="5182B5BD" w14:textId="03262817" w:rsidR="00334EE4" w:rsidRPr="00DC205C" w:rsidRDefault="00334EE4" w:rsidP="00DC205C">
      <w:pPr>
        <w:spacing w:line="276" w:lineRule="auto"/>
        <w:ind w:left="-284" w:right="-284"/>
        <w:jc w:val="both"/>
        <w:rPr>
          <w:rFonts w:asciiTheme="majorHAnsi" w:hAnsiTheme="majorHAnsi" w:cstheme="majorHAnsi"/>
          <w:b/>
          <w:bCs/>
          <w:i/>
          <w:iCs/>
        </w:rPr>
      </w:pPr>
      <w:r w:rsidRPr="00DC205C">
        <w:rPr>
          <w:rFonts w:asciiTheme="majorHAnsi" w:hAnsiTheme="majorHAnsi" w:cstheme="majorHAnsi"/>
          <w:b/>
          <w:bCs/>
          <w:i/>
          <w:iCs/>
        </w:rPr>
        <w:t xml:space="preserve">Relazione </w:t>
      </w:r>
    </w:p>
    <w:p w14:paraId="1E82E58F"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La nuova disposizione mira a rendere effettiva ed unitaria a livello nazionale, l’incentivazione del traffico merci “via ferro” introdotta, in via meramente teorica, dall’art. 47 comma 11-quater del decreto-legge 24 aprile 2017, n. 50 attraverso il quale il concreto effetto incentivante viene lasciato alla mera discrezionalità di ciascuna </w:t>
      </w:r>
      <w:proofErr w:type="spellStart"/>
      <w:r w:rsidRPr="00DC205C">
        <w:rPr>
          <w:rFonts w:asciiTheme="majorHAnsi" w:hAnsiTheme="majorHAnsi" w:cstheme="majorHAnsi"/>
        </w:rPr>
        <w:t>AdSP</w:t>
      </w:r>
      <w:proofErr w:type="spellEnd"/>
      <w:r w:rsidRPr="00DC205C">
        <w:rPr>
          <w:rFonts w:asciiTheme="majorHAnsi" w:hAnsiTheme="majorHAnsi" w:cstheme="majorHAnsi"/>
        </w:rPr>
        <w:t>. Per ragioni di coerenza e di ordine sistematico la novella proposta contiene altresì la contestuale abrogazione del predetto art. 47 comma 11-quater decreto-legge 50/2017.</w:t>
      </w:r>
    </w:p>
    <w:p w14:paraId="1EAD66E2"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Viene inoltre prevista una norma che consente di promuovere l’intermodalità nave/treno sulle reti TEN-T, attraverso un abbattimento degli oneri di utilizzo delle infrastrutture ferroviarie e portuali. La norma si pone come nuova versione del </w:t>
      </w:r>
      <w:proofErr w:type="spellStart"/>
      <w:r w:rsidRPr="00DC205C">
        <w:rPr>
          <w:rFonts w:asciiTheme="majorHAnsi" w:hAnsiTheme="majorHAnsi" w:cstheme="majorHAnsi"/>
        </w:rPr>
        <w:t>Ferrobonus</w:t>
      </w:r>
      <w:proofErr w:type="spellEnd"/>
      <w:r w:rsidRPr="00DC205C">
        <w:rPr>
          <w:rFonts w:asciiTheme="majorHAnsi" w:hAnsiTheme="majorHAnsi" w:cstheme="majorHAnsi"/>
        </w:rPr>
        <w:t>.</w:t>
      </w:r>
    </w:p>
    <w:p w14:paraId="7D50ADF6"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Infine, al fine di consentire a tutti i gestori di infrastrutture il diritto a promuovere il traffico ferroviario, si prevede un </w:t>
      </w:r>
      <w:proofErr w:type="spellStart"/>
      <w:r w:rsidRPr="00DC205C">
        <w:rPr>
          <w:rFonts w:asciiTheme="majorHAnsi" w:hAnsiTheme="majorHAnsi" w:cstheme="majorHAnsi"/>
        </w:rPr>
        <w:t>iperammortamento</w:t>
      </w:r>
      <w:proofErr w:type="spellEnd"/>
      <w:r w:rsidRPr="00DC205C">
        <w:rPr>
          <w:rFonts w:asciiTheme="majorHAnsi" w:hAnsiTheme="majorHAnsi" w:cstheme="majorHAnsi"/>
        </w:rPr>
        <w:t xml:space="preserve"> del 100% degli investimenti finalizzati a realizzare, ripristinare o manutenere (in via straordinaria) i binari localizzati sui terminal oggetto di concessione.</w:t>
      </w:r>
    </w:p>
    <w:p w14:paraId="1B2EA99C" w14:textId="77777777" w:rsidR="00334EE4" w:rsidRPr="00DC205C" w:rsidRDefault="00334EE4" w:rsidP="00DC205C">
      <w:pPr>
        <w:spacing w:line="276" w:lineRule="auto"/>
        <w:ind w:left="-284" w:right="-284"/>
        <w:jc w:val="center"/>
        <w:rPr>
          <w:rFonts w:asciiTheme="majorHAnsi" w:hAnsiTheme="majorHAnsi" w:cstheme="majorHAnsi"/>
        </w:rPr>
      </w:pPr>
    </w:p>
    <w:p w14:paraId="682D873B" w14:textId="01BF82DD" w:rsidR="00334EE4" w:rsidRPr="005D103F" w:rsidRDefault="005D103F" w:rsidP="00DC205C">
      <w:pPr>
        <w:spacing w:after="160" w:line="276" w:lineRule="auto"/>
        <w:ind w:left="-284" w:right="-284" w:hanging="360"/>
        <w:contextualSpacing/>
        <w:jc w:val="both"/>
        <w:outlineLvl w:val="1"/>
        <w:rPr>
          <w:rFonts w:asciiTheme="majorHAnsi" w:eastAsia="Calibri" w:hAnsiTheme="majorHAnsi" w:cstheme="majorHAnsi"/>
          <w:b/>
          <w:bCs/>
          <w:color w:val="1F497D" w:themeColor="text2"/>
          <w:kern w:val="2"/>
          <w14:ligatures w14:val="standardContextual"/>
        </w:rPr>
      </w:pPr>
      <w:r w:rsidRPr="005D103F">
        <w:rPr>
          <w:rFonts w:asciiTheme="majorHAnsi" w:eastAsia="Calibri" w:hAnsiTheme="majorHAnsi" w:cstheme="majorHAnsi"/>
          <w:b/>
          <w:bCs/>
          <w:i/>
          <w:iCs/>
          <w:color w:val="1F497D" w:themeColor="text2"/>
          <w:kern w:val="2"/>
          <w:u w:val="single"/>
          <w14:ligatures w14:val="standardContextual"/>
        </w:rPr>
        <w:t xml:space="preserve">b1) </w:t>
      </w:r>
      <w:r w:rsidR="00334EE4" w:rsidRPr="005D103F">
        <w:rPr>
          <w:rFonts w:asciiTheme="majorHAnsi" w:eastAsia="Calibri" w:hAnsiTheme="majorHAnsi" w:cstheme="majorHAnsi"/>
          <w:b/>
          <w:bCs/>
          <w:i/>
          <w:iCs/>
          <w:color w:val="1F497D" w:themeColor="text2"/>
          <w:kern w:val="2"/>
          <w:u w:val="single"/>
          <w14:ligatures w14:val="standardContextual"/>
        </w:rPr>
        <w:t>Alternativo</w:t>
      </w:r>
      <w:r w:rsidR="00334EE4" w:rsidRPr="005D103F">
        <w:rPr>
          <w:rFonts w:asciiTheme="majorHAnsi" w:eastAsia="Calibri" w:hAnsiTheme="majorHAnsi" w:cstheme="majorHAnsi"/>
          <w:b/>
          <w:bCs/>
          <w:color w:val="1F497D" w:themeColor="text2"/>
          <w:kern w:val="2"/>
          <w14:ligatures w14:val="standardContextual"/>
        </w:rPr>
        <w:t xml:space="preserve"> - Incentivazione del traffico ferroviario delle merci in ambito portuale</w:t>
      </w:r>
    </w:p>
    <w:p w14:paraId="55F5C575"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L’articolo 13 bis del decreto-legge 21 marzo 2022, n. 21 convertito con modificazioni dalla legge 20 maggio 2022, n. 51 è sostituito con il seguente:</w:t>
      </w:r>
    </w:p>
    <w:p w14:paraId="50A4EBA0"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Al fine di promuovere il traffico ferroviario delle merci in ambito portuale, le autorità di sistema portuale, relativamente a concessioni in essere per aree demaniali su cui insistono attività </w:t>
      </w:r>
      <w:proofErr w:type="spellStart"/>
      <w:r w:rsidRPr="00DC205C">
        <w:rPr>
          <w:rFonts w:asciiTheme="majorHAnsi" w:hAnsiTheme="majorHAnsi" w:cstheme="majorHAnsi"/>
          <w:i/>
          <w:iCs/>
          <w:kern w:val="2"/>
          <w14:ligatures w14:val="standardContextual"/>
        </w:rPr>
        <w:t>terminalistiche</w:t>
      </w:r>
      <w:proofErr w:type="spellEnd"/>
      <w:r w:rsidRPr="00DC205C">
        <w:rPr>
          <w:rFonts w:asciiTheme="majorHAnsi" w:hAnsiTheme="majorHAnsi" w:cstheme="majorHAnsi"/>
          <w:i/>
          <w:iCs/>
          <w:kern w:val="2"/>
          <w14:ligatures w14:val="standardContextual"/>
        </w:rPr>
        <w:t>, riconoscono, fino al 31 dicembre 2025 e nel rispetto dei limiti minimi dei canoni di cui all’</w:t>
      </w:r>
      <w:hyperlink r:id="rId7" w:tgtFrame="_blank" w:history="1">
        <w:r w:rsidRPr="00DC205C">
          <w:rPr>
            <w:rFonts w:asciiTheme="majorHAnsi" w:hAnsiTheme="majorHAnsi" w:cstheme="majorHAnsi"/>
            <w:i/>
            <w:iCs/>
            <w:kern w:val="2"/>
            <w14:ligatures w14:val="standardContextual"/>
          </w:rPr>
          <w:t>articolo 18 della legge 28 gennaio 1994, n. 84</w:t>
        </w:r>
      </w:hyperlink>
      <w:r w:rsidRPr="00DC205C">
        <w:rPr>
          <w:rFonts w:asciiTheme="majorHAnsi" w:hAnsiTheme="majorHAnsi" w:cstheme="majorHAnsi"/>
          <w:i/>
          <w:iCs/>
          <w:kern w:val="2"/>
          <w14:ligatures w14:val="standardContextual"/>
        </w:rPr>
        <w:t>, una progressiva diminuzione dei canoni di concessione in funzione del raggiungimento di specifici obiettivi di traffico ferroviario portuale generato da ciascuna area o comunque ad essa riconducibile.</w:t>
      </w:r>
    </w:p>
    <w:p w14:paraId="61F035F6"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Con decreto direttoriale, da emanarsi entro novanta giorni dall’entrata in vigore della presente disposizione, il Ministero delle infrastrutture e della mobilità sostenibili, sentite le autorità di sistema portuale e le associazioni di categoria maggiormente rappresentative della categoria dei Terminal </w:t>
      </w:r>
      <w:proofErr w:type="spellStart"/>
      <w:r w:rsidRPr="00DC205C">
        <w:rPr>
          <w:rFonts w:asciiTheme="majorHAnsi" w:hAnsiTheme="majorHAnsi" w:cstheme="majorHAnsi"/>
          <w:i/>
          <w:iCs/>
          <w:kern w:val="2"/>
          <w14:ligatures w14:val="standardContextual"/>
        </w:rPr>
        <w:t>Operators</w:t>
      </w:r>
      <w:proofErr w:type="spellEnd"/>
      <w:r w:rsidRPr="00DC205C">
        <w:rPr>
          <w:rFonts w:asciiTheme="majorHAnsi" w:hAnsiTheme="majorHAnsi" w:cstheme="majorHAnsi"/>
          <w:i/>
          <w:iCs/>
          <w:kern w:val="2"/>
          <w14:ligatures w14:val="standardContextual"/>
        </w:rPr>
        <w:t>, fissa gli obiettivi di traffico ferroviario, anche differenziati per ciascun ambito portuale, l’entità e le modalità di determinazione dello sconto sul canone di concessione.</w:t>
      </w:r>
    </w:p>
    <w:p w14:paraId="5752FA3A"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Con il medesimo decreto di cui al comma 2, viene istituito presso il Ministero delle infrastrutture e della mobilità sostenibili un fondo avente la finalità di riequilibrare, qualora necessario, le minori risorse derivanti dal riconoscimento dell’incentivo previsto al comma 1. </w:t>
      </w:r>
    </w:p>
    <w:p w14:paraId="25567770"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È abrogato l’art. 47 comma 11-quater del decreto-legge 24 aprile 2017, n. 50, convertito con modificazioni dalla legge 21 giugno 2017, n. 96. Sino all’entrata in vigore della presente disposizione restano comunque validi gli sconti concessi dalle autorità di sistema portuale in virtù della disposizione di cui al primo periodo.</w:t>
      </w:r>
    </w:p>
    <w:p w14:paraId="0130BA8A" w14:textId="77777777" w:rsidR="0052509E" w:rsidRPr="00DC205C" w:rsidRDefault="0052509E" w:rsidP="00DC205C">
      <w:pPr>
        <w:numPr>
          <w:ilvl w:val="0"/>
          <w:numId w:val="9"/>
        </w:numPr>
        <w:spacing w:line="276" w:lineRule="auto"/>
        <w:ind w:left="-284" w:right="-284"/>
        <w:contextualSpacing/>
        <w:jc w:val="both"/>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 xml:space="preserve">Qualora il traffico ferroviario in origine o destinazione da un porto collocato sulla rete Core o </w:t>
      </w:r>
      <w:proofErr w:type="spellStart"/>
      <w:r w:rsidRPr="00DC205C">
        <w:rPr>
          <w:rFonts w:asciiTheme="majorHAnsi" w:hAnsiTheme="majorHAnsi" w:cstheme="majorHAnsi"/>
          <w:i/>
          <w:iCs/>
          <w:kern w:val="2"/>
          <w14:ligatures w14:val="standardContextual"/>
        </w:rPr>
        <w:t>comprehensive</w:t>
      </w:r>
      <w:proofErr w:type="spellEnd"/>
      <w:r w:rsidRPr="00DC205C">
        <w:rPr>
          <w:rFonts w:asciiTheme="majorHAnsi" w:hAnsiTheme="majorHAnsi" w:cstheme="majorHAnsi"/>
          <w:i/>
          <w:iCs/>
          <w:kern w:val="2"/>
          <w14:ligatures w14:val="standardContextual"/>
        </w:rPr>
        <w:t xml:space="preserve"> delle TEN-T, di cui al Regolamento 1315/2013/UE, sia diretto verso, o provenga da, un interporto, o centro smistamento merci, collocato sulla medesima rete con modalità ferroviaria, la tariffa per l’utilizzo dell’infrastruttura ferroviaria e la tariffa per l’erogazione delle operazioni di sbarco e imbarco sono compensate dallo Stato attraverso il fondo di cui al comma 2, nella misura massima del 50%. Con Decreto direttoriale sono stabilite le modalità e i tempi di accesso al fondo da parte dei gestori delle infrastrutture ferroviarie, dei gestori degli interporti e dei concessionari ex art. 18 legge n. 84/1994, anche raggruppati in consorzio.</w:t>
      </w:r>
    </w:p>
    <w:p w14:paraId="7A0E1F11" w14:textId="4570F21C" w:rsidR="0052509E" w:rsidRPr="00DC205C" w:rsidRDefault="0052509E" w:rsidP="00DC205C">
      <w:pPr>
        <w:spacing w:after="160" w:line="276" w:lineRule="auto"/>
        <w:ind w:left="-284" w:right="-284" w:hanging="360"/>
        <w:contextualSpacing/>
        <w:jc w:val="both"/>
        <w:outlineLvl w:val="1"/>
        <w:rPr>
          <w:rFonts w:asciiTheme="majorHAnsi" w:hAnsiTheme="majorHAnsi" w:cstheme="majorHAnsi"/>
          <w:i/>
          <w:iCs/>
          <w:kern w:val="2"/>
          <w14:ligatures w14:val="standardContextual"/>
        </w:rPr>
      </w:pPr>
      <w:r w:rsidRPr="00DC205C">
        <w:rPr>
          <w:rFonts w:asciiTheme="majorHAnsi" w:hAnsiTheme="majorHAnsi" w:cstheme="majorHAnsi"/>
          <w:i/>
          <w:iCs/>
          <w:kern w:val="2"/>
          <w14:ligatures w14:val="standardContextual"/>
        </w:rPr>
        <w:t>I concessionari di aree demaniali in ambito portuale ai sensi dell’art. 18 della legge n. 84/1994 beneficiano di un credito d’imposta pari al 100% per i costi relativi alla realizzazione, rimessa in pristino e manutenzione straordinaria, delle infrastrutture ferroviarie localizzate sui terminali oggetto di concessione che consentano un collegamento con la rete ferroviaria di cui al Regolamento n. 1315/2013.</w:t>
      </w:r>
    </w:p>
    <w:p w14:paraId="6BF4AD8E" w14:textId="620D39DD" w:rsidR="00334EE4" w:rsidRPr="00DC205C" w:rsidRDefault="005D103F" w:rsidP="005D103F">
      <w:pPr>
        <w:tabs>
          <w:tab w:val="left" w:pos="960"/>
        </w:tabs>
        <w:spacing w:after="160" w:line="276" w:lineRule="auto"/>
        <w:ind w:left="-284" w:right="-284" w:hanging="360"/>
        <w:contextualSpacing/>
        <w:jc w:val="both"/>
        <w:outlineLvl w:val="1"/>
        <w:rPr>
          <w:rFonts w:asciiTheme="majorHAnsi" w:hAnsiTheme="majorHAnsi" w:cstheme="majorHAnsi"/>
          <w:b/>
          <w:bCs/>
          <w:i/>
          <w:iCs/>
        </w:rPr>
      </w:pPr>
      <w:r>
        <w:rPr>
          <w:rFonts w:asciiTheme="majorHAnsi" w:eastAsia="Calibri" w:hAnsiTheme="majorHAnsi" w:cstheme="majorHAnsi"/>
          <w:b/>
          <w:bCs/>
          <w:kern w:val="2"/>
          <w14:ligatures w14:val="standardContextual"/>
        </w:rPr>
        <w:tab/>
      </w:r>
      <w:r w:rsidR="00334EE4" w:rsidRPr="00DC205C">
        <w:rPr>
          <w:rFonts w:asciiTheme="majorHAnsi" w:hAnsiTheme="majorHAnsi" w:cstheme="majorHAnsi"/>
          <w:b/>
          <w:bCs/>
          <w:i/>
          <w:iCs/>
        </w:rPr>
        <w:t xml:space="preserve">Relazione </w:t>
      </w:r>
    </w:p>
    <w:p w14:paraId="24B31F97"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La nuova disposizione mira a rendere effettiva ed unitaria a livello nazionale, l’incentivazione del traffico merci “via ferro” introdotta, in via meramente teorica, dall’art. 47 comma 11-quater del decreto-legge 24 aprile 2017, n. 50 attraverso il quale il concreto effetto incentivante viene lasciato alla mera discrezionalità di ciascuna </w:t>
      </w:r>
      <w:proofErr w:type="spellStart"/>
      <w:r w:rsidRPr="00DC205C">
        <w:rPr>
          <w:rFonts w:asciiTheme="majorHAnsi" w:hAnsiTheme="majorHAnsi" w:cstheme="majorHAnsi"/>
        </w:rPr>
        <w:t>AdSP</w:t>
      </w:r>
      <w:proofErr w:type="spellEnd"/>
      <w:r w:rsidRPr="00DC205C">
        <w:rPr>
          <w:rFonts w:asciiTheme="majorHAnsi" w:hAnsiTheme="majorHAnsi" w:cstheme="majorHAnsi"/>
        </w:rPr>
        <w:t xml:space="preserve">. Per ragioni di coerenza e di ordine sistematico la novella proposta contiene altresì la contestuale abrogazione del predetto art. 47 comma 11-quater </w:t>
      </w:r>
      <w:proofErr w:type="spellStart"/>
      <w:r w:rsidRPr="00DC205C">
        <w:rPr>
          <w:rFonts w:asciiTheme="majorHAnsi" w:hAnsiTheme="majorHAnsi" w:cstheme="majorHAnsi"/>
        </w:rPr>
        <w:t>d.l.</w:t>
      </w:r>
      <w:proofErr w:type="spellEnd"/>
      <w:r w:rsidRPr="00DC205C">
        <w:rPr>
          <w:rFonts w:asciiTheme="majorHAnsi" w:hAnsiTheme="majorHAnsi" w:cstheme="majorHAnsi"/>
        </w:rPr>
        <w:t xml:space="preserve"> 50/2017.</w:t>
      </w:r>
    </w:p>
    <w:p w14:paraId="06CFB934"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Viene inoltre prevista una norma che consente di promuovere l’intermodalità nave/treno sulle reti TEN-T, attraverso un abbattimento degli oneri di utilizzo delle infrastrutture ferroviarie e portuali. La norma si pone come nuova versione del </w:t>
      </w:r>
      <w:proofErr w:type="spellStart"/>
      <w:r w:rsidRPr="00DC205C">
        <w:rPr>
          <w:rFonts w:asciiTheme="majorHAnsi" w:hAnsiTheme="majorHAnsi" w:cstheme="majorHAnsi"/>
        </w:rPr>
        <w:t>Ferrobonus</w:t>
      </w:r>
      <w:proofErr w:type="spellEnd"/>
      <w:r w:rsidRPr="00DC205C">
        <w:rPr>
          <w:rFonts w:asciiTheme="majorHAnsi" w:hAnsiTheme="majorHAnsi" w:cstheme="majorHAnsi"/>
        </w:rPr>
        <w:t>.</w:t>
      </w:r>
    </w:p>
    <w:p w14:paraId="2D38EE9F" w14:textId="77777777" w:rsidR="005D103F" w:rsidRDefault="00334EE4" w:rsidP="005D103F">
      <w:pPr>
        <w:spacing w:line="276" w:lineRule="auto"/>
        <w:ind w:left="-284" w:right="-284"/>
        <w:jc w:val="both"/>
        <w:rPr>
          <w:rFonts w:asciiTheme="majorHAnsi" w:hAnsiTheme="majorHAnsi" w:cstheme="majorHAnsi"/>
        </w:rPr>
      </w:pPr>
      <w:r w:rsidRPr="00DC205C">
        <w:rPr>
          <w:rFonts w:asciiTheme="majorHAnsi" w:hAnsiTheme="majorHAnsi" w:cstheme="majorHAnsi"/>
        </w:rPr>
        <w:t>Infine, al fine di consentire a tutti i gestori di infrastrutture il diritto a promuovere il traffico ferroviario, si prevede un iper-ammortamento del 100% degli investimenti finalizzati a realizzare, ripristinare o manutenere (in via straordinaria) i binari localizzati sui terminal oggetto di concessione.</w:t>
      </w:r>
    </w:p>
    <w:p w14:paraId="01156495" w14:textId="77777777" w:rsidR="005D103F" w:rsidRDefault="005D103F" w:rsidP="005D103F">
      <w:pPr>
        <w:spacing w:line="276" w:lineRule="auto"/>
        <w:ind w:left="-284" w:right="-284"/>
        <w:jc w:val="both"/>
        <w:rPr>
          <w:rFonts w:asciiTheme="majorHAnsi" w:hAnsiTheme="majorHAnsi" w:cstheme="majorHAnsi"/>
        </w:rPr>
      </w:pPr>
    </w:p>
    <w:p w14:paraId="6B954ED3" w14:textId="77777777" w:rsidR="005D103F" w:rsidRDefault="005D103F" w:rsidP="005D103F">
      <w:pPr>
        <w:spacing w:line="276" w:lineRule="auto"/>
        <w:ind w:left="-284" w:right="-284"/>
        <w:jc w:val="both"/>
        <w:rPr>
          <w:rFonts w:asciiTheme="majorHAnsi" w:hAnsiTheme="majorHAnsi" w:cstheme="majorHAnsi"/>
        </w:rPr>
      </w:pPr>
    </w:p>
    <w:p w14:paraId="79FFCCF2" w14:textId="77777777" w:rsidR="005D103F" w:rsidRDefault="005D103F" w:rsidP="005D103F">
      <w:pPr>
        <w:spacing w:line="276" w:lineRule="auto"/>
        <w:ind w:left="-284" w:right="-284"/>
        <w:jc w:val="both"/>
        <w:rPr>
          <w:rFonts w:asciiTheme="majorHAnsi" w:hAnsiTheme="majorHAnsi" w:cstheme="majorHAnsi"/>
        </w:rPr>
      </w:pPr>
    </w:p>
    <w:p w14:paraId="296F161D" w14:textId="77777777" w:rsidR="005D103F" w:rsidRDefault="005D103F" w:rsidP="005D103F">
      <w:pPr>
        <w:spacing w:line="276" w:lineRule="auto"/>
        <w:ind w:left="-284" w:right="-284"/>
        <w:jc w:val="both"/>
        <w:rPr>
          <w:rFonts w:asciiTheme="majorHAnsi" w:hAnsiTheme="majorHAnsi" w:cstheme="majorHAnsi"/>
        </w:rPr>
      </w:pPr>
    </w:p>
    <w:p w14:paraId="75C5D105" w14:textId="59FDD5CC" w:rsidR="006D7EA5" w:rsidRPr="005D103F" w:rsidRDefault="00334EE4" w:rsidP="005D103F">
      <w:pPr>
        <w:spacing w:line="276" w:lineRule="auto"/>
        <w:ind w:left="-284" w:right="-284"/>
        <w:jc w:val="both"/>
        <w:rPr>
          <w:rFonts w:asciiTheme="majorHAnsi" w:eastAsia="Times New Roman" w:hAnsiTheme="majorHAnsi" w:cstheme="majorHAnsi"/>
          <w:b/>
          <w:bCs/>
          <w:color w:val="C0504D" w:themeColor="accent2"/>
        </w:rPr>
      </w:pPr>
      <w:r w:rsidRPr="005D103F">
        <w:rPr>
          <w:rFonts w:asciiTheme="majorHAnsi" w:eastAsia="Times New Roman" w:hAnsiTheme="majorHAnsi" w:cstheme="majorHAnsi"/>
          <w:b/>
          <w:bCs/>
          <w:color w:val="C0504D" w:themeColor="accent2"/>
        </w:rPr>
        <w:t>TRANSIZIONE ECOLOGICA DELL’INDUSTRIA DEL MARE</w:t>
      </w:r>
    </w:p>
    <w:p w14:paraId="0D1FBFD4" w14:textId="646F23D8" w:rsidR="00334EE4" w:rsidRPr="005D103F" w:rsidRDefault="00334EE4" w:rsidP="005D103F">
      <w:pPr>
        <w:pStyle w:val="Paragrafoelenco"/>
        <w:numPr>
          <w:ilvl w:val="0"/>
          <w:numId w:val="18"/>
        </w:numPr>
        <w:spacing w:line="276" w:lineRule="auto"/>
        <w:ind w:right="-284"/>
        <w:rPr>
          <w:rFonts w:asciiTheme="majorHAnsi" w:hAnsiTheme="majorHAnsi" w:cstheme="majorHAnsi"/>
          <w:b/>
          <w:bCs/>
          <w:color w:val="1F497D" w:themeColor="text2"/>
        </w:rPr>
      </w:pPr>
      <w:bookmarkStart w:id="0" w:name="_Hlk166673959"/>
      <w:r w:rsidRPr="005D103F">
        <w:rPr>
          <w:rFonts w:asciiTheme="majorHAnsi" w:hAnsiTheme="majorHAnsi" w:cstheme="majorHAnsi"/>
          <w:b/>
          <w:bCs/>
          <w:color w:val="1F497D" w:themeColor="text2"/>
        </w:rPr>
        <w:t>Transizione energetica porti</w:t>
      </w:r>
    </w:p>
    <w:p w14:paraId="160ECD8F" w14:textId="77777777" w:rsidR="00334EE4" w:rsidRPr="00DC205C" w:rsidRDefault="00334EE4" w:rsidP="00DC205C">
      <w:pPr>
        <w:spacing w:line="276" w:lineRule="auto"/>
        <w:ind w:left="-284" w:right="-284"/>
        <w:rPr>
          <w:rFonts w:asciiTheme="majorHAnsi" w:hAnsiTheme="majorHAnsi" w:cstheme="majorHAnsi"/>
        </w:rPr>
      </w:pPr>
      <w:r w:rsidRPr="00DC205C">
        <w:rPr>
          <w:rFonts w:asciiTheme="majorHAnsi" w:hAnsiTheme="majorHAnsi" w:cstheme="majorHAnsi"/>
        </w:rPr>
        <w:t xml:space="preserve">Dopo il comma 11 dell’art. 6 della legge n. 84/1994, è inserito il seguente comma: </w:t>
      </w:r>
    </w:p>
    <w:p w14:paraId="50F09A80" w14:textId="77777777" w:rsidR="00334EE4" w:rsidRPr="00DC205C" w:rsidRDefault="00334EE4" w:rsidP="00DC205C">
      <w:pPr>
        <w:spacing w:line="276" w:lineRule="auto"/>
        <w:ind w:left="-284" w:right="-284"/>
        <w:rPr>
          <w:rFonts w:asciiTheme="majorHAnsi" w:hAnsiTheme="majorHAnsi" w:cstheme="majorHAnsi"/>
        </w:rPr>
      </w:pPr>
      <w:r w:rsidRPr="00DC205C">
        <w:rPr>
          <w:rFonts w:asciiTheme="majorHAnsi" w:hAnsiTheme="majorHAnsi" w:cstheme="majorHAnsi"/>
        </w:rPr>
        <w:t xml:space="preserve">“11bis. Al fine di contribuire alla decarbonizzazione del sistema energetico di ciascun porto, le Autorità di sistema portuale, sentito l’Organismo di partenariato della risorsa mare di cui all’art. 11-bis della legge 28 gennaio 1994, n. 84, su istanza dei soggetti interessati, possono sottoscrivere accordi ai sensi dell’art. 11 della legge n. 241/1990 con i soggetti concessionari di aree e banchine in ambito portuale ai sensi della legge 28 gennaio 1994, n. 84 e del codice della navigazione,  nonché le imprese in grado di produrre energia rinnovabile oppure stoccare e/o distribuire energia, anche riuniti in consorzio, al fine di disciplinare l’uso condiviso delle infrastrutture energetiche e relativi impianti anche prevedendo una gestione comune di tali infrastrutture nonché dei servizi di </w:t>
      </w:r>
      <w:proofErr w:type="spellStart"/>
      <w:r w:rsidRPr="00DC205C">
        <w:rPr>
          <w:rFonts w:asciiTheme="majorHAnsi" w:hAnsiTheme="majorHAnsi" w:cstheme="majorHAnsi"/>
        </w:rPr>
        <w:t>cold</w:t>
      </w:r>
      <w:proofErr w:type="spellEnd"/>
      <w:r w:rsidRPr="00DC205C">
        <w:rPr>
          <w:rFonts w:asciiTheme="majorHAnsi" w:hAnsiTheme="majorHAnsi" w:cstheme="majorHAnsi"/>
        </w:rPr>
        <w:t xml:space="preserve"> </w:t>
      </w:r>
      <w:proofErr w:type="spellStart"/>
      <w:r w:rsidRPr="00DC205C">
        <w:rPr>
          <w:rFonts w:asciiTheme="majorHAnsi" w:hAnsiTheme="majorHAnsi" w:cstheme="majorHAnsi"/>
        </w:rPr>
        <w:t>ironing</w:t>
      </w:r>
      <w:proofErr w:type="spellEnd"/>
      <w:r w:rsidRPr="00DC205C">
        <w:rPr>
          <w:rFonts w:asciiTheme="majorHAnsi" w:hAnsiTheme="majorHAnsi" w:cstheme="majorHAnsi"/>
        </w:rPr>
        <w:t>”.</w:t>
      </w:r>
    </w:p>
    <w:p w14:paraId="6E1B372F" w14:textId="0ED23F12" w:rsidR="00334EE4" w:rsidRPr="00DC205C" w:rsidRDefault="00334EE4" w:rsidP="005D103F">
      <w:pPr>
        <w:tabs>
          <w:tab w:val="left" w:pos="1335"/>
        </w:tabs>
        <w:spacing w:line="276" w:lineRule="auto"/>
        <w:ind w:left="-284" w:right="-284"/>
        <w:rPr>
          <w:rFonts w:asciiTheme="majorHAnsi" w:hAnsiTheme="majorHAnsi" w:cstheme="majorHAnsi"/>
          <w:b/>
          <w:bCs/>
          <w:i/>
          <w:iCs/>
        </w:rPr>
      </w:pPr>
      <w:r w:rsidRPr="00DC205C">
        <w:rPr>
          <w:rFonts w:asciiTheme="majorHAnsi" w:hAnsiTheme="majorHAnsi" w:cstheme="majorHAnsi"/>
          <w:b/>
          <w:bCs/>
          <w:i/>
          <w:iCs/>
        </w:rPr>
        <w:t xml:space="preserve">Relazione </w:t>
      </w:r>
    </w:p>
    <w:p w14:paraId="2520E6A9" w14:textId="77777777" w:rsidR="00334EE4" w:rsidRPr="00DC205C" w:rsidRDefault="00334EE4" w:rsidP="00DC205C">
      <w:pPr>
        <w:tabs>
          <w:tab w:val="left" w:pos="6345"/>
        </w:tabs>
        <w:spacing w:line="276" w:lineRule="auto"/>
        <w:ind w:left="-284" w:right="-284"/>
        <w:jc w:val="both"/>
        <w:rPr>
          <w:rFonts w:asciiTheme="majorHAnsi" w:hAnsiTheme="majorHAnsi" w:cstheme="majorHAnsi"/>
        </w:rPr>
      </w:pPr>
      <w:r w:rsidRPr="00DC205C">
        <w:rPr>
          <w:rFonts w:asciiTheme="majorHAnsi" w:hAnsiTheme="majorHAnsi" w:cstheme="majorHAnsi"/>
        </w:rPr>
        <w:t>La proposta emendativa mira a favorire, nonché propone una disciplina organica, effettiva e semplificata dell’uso delle risorse energetiche in ambito portuale.</w:t>
      </w:r>
    </w:p>
    <w:p w14:paraId="7A3D9A1D"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Dal momento che la fornitura di energia elettrica implica l’uso di impianti che insistono congiuntamente su ambito demaniale in gestione delle Autorità di sistema portuale e contemporaneamente su aree in concessione ai sensi dell’art. 36 cod. nav. e legge n. 84/1994, risulta necessario e indifferibile prevedere forme di coordinamento tra i soggetti ivi citati per evitare che le infrastrutture energetiche finalizzate al </w:t>
      </w:r>
      <w:proofErr w:type="spellStart"/>
      <w:r w:rsidRPr="00DC205C">
        <w:rPr>
          <w:rFonts w:asciiTheme="majorHAnsi" w:hAnsiTheme="majorHAnsi" w:cstheme="majorHAnsi"/>
          <w:i/>
          <w:iCs/>
        </w:rPr>
        <w:t>cold</w:t>
      </w:r>
      <w:proofErr w:type="spellEnd"/>
      <w:r w:rsidRPr="00DC205C">
        <w:rPr>
          <w:rFonts w:asciiTheme="majorHAnsi" w:hAnsiTheme="majorHAnsi" w:cstheme="majorHAnsi"/>
          <w:i/>
          <w:iCs/>
        </w:rPr>
        <w:t xml:space="preserve"> </w:t>
      </w:r>
      <w:proofErr w:type="spellStart"/>
      <w:r w:rsidRPr="00DC205C">
        <w:rPr>
          <w:rFonts w:asciiTheme="majorHAnsi" w:hAnsiTheme="majorHAnsi" w:cstheme="majorHAnsi"/>
          <w:i/>
          <w:iCs/>
        </w:rPr>
        <w:t>ironing</w:t>
      </w:r>
      <w:proofErr w:type="spellEnd"/>
      <w:r w:rsidRPr="00DC205C">
        <w:rPr>
          <w:rFonts w:asciiTheme="majorHAnsi" w:hAnsiTheme="majorHAnsi" w:cstheme="majorHAnsi"/>
        </w:rPr>
        <w:t xml:space="preserve"> finanziate attraverso il PNRR rischino di essere inutilizzate.</w:t>
      </w:r>
    </w:p>
    <w:p w14:paraId="284E37A2"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A tal fine è semplicemente richiamato l’istituto dell’accordo sostitutivo del provvedimento amministrativo ai sensi dell’art. 11 della legge n. 241/1990, esercitabile dall’Autorità di sistema portuale su istanza dei soggetti interessati.</w:t>
      </w:r>
    </w:p>
    <w:p w14:paraId="5BB9074F"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A tal fine è inoltre previsto che i soggetti interessati, che devono essere titolari di concessioni e possono includere un soggetto industriale attivo nel mercato della produzione e gestione di infrastrutture di energia rinnovabile, posso presentare un’apposita istanza per avviare l’iter di formalizzazione dell’accordo ex art. 11 della legge n. 241/1990.  </w:t>
      </w:r>
    </w:p>
    <w:p w14:paraId="5C8D2603" w14:textId="77777777" w:rsidR="00334EE4" w:rsidRPr="00DC205C" w:rsidRDefault="00334EE4" w:rsidP="005D103F">
      <w:pPr>
        <w:spacing w:line="276" w:lineRule="auto"/>
        <w:ind w:right="-284"/>
        <w:jc w:val="both"/>
        <w:rPr>
          <w:rFonts w:asciiTheme="majorHAnsi" w:hAnsiTheme="majorHAnsi" w:cstheme="majorHAnsi"/>
        </w:rPr>
      </w:pPr>
    </w:p>
    <w:bookmarkEnd w:id="0"/>
    <w:p w14:paraId="7AC09A06" w14:textId="36949756" w:rsidR="00334EE4" w:rsidRPr="005D103F" w:rsidRDefault="00334EE4" w:rsidP="005D103F">
      <w:pPr>
        <w:pStyle w:val="Paragrafoelenco"/>
        <w:numPr>
          <w:ilvl w:val="0"/>
          <w:numId w:val="18"/>
        </w:numPr>
        <w:spacing w:line="276" w:lineRule="auto"/>
        <w:ind w:right="-284"/>
        <w:jc w:val="both"/>
        <w:outlineLvl w:val="1"/>
        <w:rPr>
          <w:rFonts w:asciiTheme="majorHAnsi" w:eastAsia="Calibri" w:hAnsiTheme="majorHAnsi" w:cstheme="majorHAnsi"/>
          <w:b/>
          <w:bCs/>
          <w:color w:val="1F497D" w:themeColor="text2"/>
          <w:lang w:val="nl-BE"/>
        </w:rPr>
      </w:pPr>
      <w:r w:rsidRPr="005D103F">
        <w:rPr>
          <w:rFonts w:asciiTheme="majorHAnsi" w:eastAsia="Calibri" w:hAnsiTheme="majorHAnsi" w:cstheme="majorHAnsi"/>
          <w:b/>
          <w:bCs/>
          <w:color w:val="1F497D" w:themeColor="text2"/>
          <w:lang w:val="nl-BE"/>
        </w:rPr>
        <w:t>FONDI ETS (</w:t>
      </w:r>
      <w:r w:rsidRPr="005D103F">
        <w:rPr>
          <w:rFonts w:asciiTheme="majorHAnsi" w:eastAsia="Calibri" w:hAnsiTheme="majorHAnsi" w:cstheme="majorHAnsi"/>
          <w:b/>
          <w:bCs/>
          <w:i/>
          <w:iCs/>
          <w:color w:val="1F497D" w:themeColor="text2"/>
          <w:lang w:val="nl-BE"/>
        </w:rPr>
        <w:t>Emissions Trading System</w:t>
      </w:r>
      <w:r w:rsidRPr="005D103F">
        <w:rPr>
          <w:rFonts w:asciiTheme="majorHAnsi" w:eastAsia="Calibri" w:hAnsiTheme="majorHAnsi" w:cstheme="majorHAnsi"/>
          <w:b/>
          <w:bCs/>
          <w:color w:val="1F497D" w:themeColor="text2"/>
          <w:lang w:val="nl-BE"/>
        </w:rPr>
        <w:t>)</w:t>
      </w:r>
    </w:p>
    <w:p w14:paraId="67368A7B" w14:textId="77777777" w:rsidR="0052509E" w:rsidRPr="00DC205C" w:rsidRDefault="0052509E" w:rsidP="00DC205C">
      <w:pPr>
        <w:spacing w:line="276" w:lineRule="auto"/>
        <w:ind w:left="-284" w:right="-284"/>
        <w:rPr>
          <w:rFonts w:asciiTheme="majorHAnsi" w:hAnsiTheme="majorHAnsi" w:cstheme="majorHAnsi"/>
          <w:i/>
          <w:iCs/>
        </w:rPr>
      </w:pPr>
      <w:r w:rsidRPr="00DC205C">
        <w:rPr>
          <w:rFonts w:asciiTheme="majorHAnsi" w:hAnsiTheme="majorHAnsi" w:cstheme="majorHAnsi"/>
          <w:i/>
          <w:iCs/>
        </w:rPr>
        <w:t xml:space="preserve">Art (…) </w:t>
      </w:r>
      <w:r w:rsidRPr="00DC205C">
        <w:rPr>
          <w:rFonts w:asciiTheme="majorHAnsi" w:hAnsiTheme="majorHAnsi" w:cstheme="majorHAnsi"/>
          <w:b/>
          <w:bCs/>
          <w:i/>
          <w:iCs/>
        </w:rPr>
        <w:t>Destinazione dei fondi ETS</w:t>
      </w:r>
    </w:p>
    <w:p w14:paraId="66E45810" w14:textId="77777777" w:rsidR="0052509E" w:rsidRPr="00DC205C" w:rsidRDefault="0052509E" w:rsidP="00DC205C">
      <w:pPr>
        <w:spacing w:line="276" w:lineRule="auto"/>
        <w:ind w:left="-284" w:right="-284"/>
        <w:jc w:val="both"/>
        <w:rPr>
          <w:rFonts w:asciiTheme="majorHAnsi" w:hAnsiTheme="majorHAnsi" w:cstheme="majorHAnsi"/>
        </w:rPr>
      </w:pPr>
      <w:r w:rsidRPr="00DC205C">
        <w:rPr>
          <w:rFonts w:asciiTheme="majorHAnsi" w:hAnsiTheme="majorHAnsi" w:cstheme="majorHAnsi"/>
          <w:i/>
          <w:iCs/>
        </w:rPr>
        <w:t>La quota di riserve derivanti dall’applicazione dell’articolo 3-octies bis della Direttiva 2003/87/CE, saranno destinanti a sostenere finanziariamente gli investimenti necessari alla transizione energetica dei porti al fine di garantire un approvvigionamento energetico sostenibile indipendente per i porti ed i relativi utenti, ossia le Autorità di sistema portuale, i concessionari portuali di cui all’art. 36 cod. nav. nonché i concessionari portuali di cui all’art. 18 legge n. 84/1994, le imprese autorizzate ex art. 16 legge n. 84/1994 e le compagnie di navigazione. Il Ministero delle infrastrutture e dei Trasporti con Decreto Ministeriale adotta entro il 31 gennaio di ogni anno un avviso di gara per l’assegnazione delle risorse nel rispetto del principio di non discriminazione e, qualora sia applicabile l’art. 108 TFUE, previa notifica alla Commissione europea”</w:t>
      </w:r>
      <w:r w:rsidRPr="00DC205C">
        <w:rPr>
          <w:rFonts w:asciiTheme="majorHAnsi" w:hAnsiTheme="majorHAnsi" w:cstheme="majorHAnsi"/>
        </w:rPr>
        <w:t>.</w:t>
      </w:r>
    </w:p>
    <w:p w14:paraId="104C98BE" w14:textId="408235C6" w:rsidR="00334EE4" w:rsidRPr="00DC205C" w:rsidRDefault="00334EE4" w:rsidP="005D103F">
      <w:pPr>
        <w:tabs>
          <w:tab w:val="left" w:pos="1185"/>
        </w:tabs>
        <w:spacing w:line="276" w:lineRule="auto"/>
        <w:ind w:left="-284" w:right="-284"/>
        <w:jc w:val="both"/>
        <w:rPr>
          <w:rFonts w:asciiTheme="majorHAnsi" w:eastAsiaTheme="minorHAnsi" w:hAnsiTheme="majorHAnsi" w:cstheme="majorHAnsi"/>
          <w:b/>
        </w:rPr>
      </w:pPr>
      <w:r w:rsidRPr="00DC205C">
        <w:rPr>
          <w:rFonts w:asciiTheme="majorHAnsi" w:eastAsiaTheme="minorHAnsi" w:hAnsiTheme="majorHAnsi" w:cstheme="majorHAnsi"/>
          <w:b/>
        </w:rPr>
        <w:t xml:space="preserve">Relazione </w:t>
      </w:r>
    </w:p>
    <w:p w14:paraId="658C62B3"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La norma mira a consentire di canalizzare i fondi che deriveranno dall’applicazione dell’articolo 3-octies bis (titolato “</w:t>
      </w:r>
      <w:r w:rsidRPr="00DC205C">
        <w:rPr>
          <w:rFonts w:asciiTheme="majorHAnsi" w:hAnsiTheme="majorHAnsi" w:cstheme="majorHAnsi"/>
          <w:i/>
          <w:iCs/>
        </w:rPr>
        <w:t>Ambito di applicazione per le attività di trasporto marittimo”</w:t>
      </w:r>
      <w:r w:rsidRPr="00DC205C">
        <w:rPr>
          <w:rFonts w:asciiTheme="majorHAnsi" w:hAnsiTheme="majorHAnsi" w:cstheme="majorHAnsi"/>
        </w:rPr>
        <w:t>) della Direttiva 2003/87/CE verso iniziative di investimenti che siano in grado di facilitare la transizione energetica a cui la Direttiva stessa mira.</w:t>
      </w:r>
    </w:p>
    <w:p w14:paraId="55B35746"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Infatti, tale articolo estende il sistema di quote compensative delle CO2 emesse dal trasporto marittimo, ponendo obbiettivi di decarbonizzazione particolarmente sfidanti.</w:t>
      </w:r>
    </w:p>
    <w:p w14:paraId="5C2807FF"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Tuttavia tali obbiettivi rischiano di tradursi in una mera tassazione se i relativi proventi non sono orientati a finanziare infrastrutture ed iniziative che possano favorire la sostenibilità a lungo termini di approvvigionamento energetico, anche a fine di propulsione, di origine rinnovabile. </w:t>
      </w:r>
    </w:p>
    <w:p w14:paraId="0898E413" w14:textId="25B02357" w:rsidR="005D103F"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Per questa ragione, si propone l’impiego di tali risorse al fine di favorire la transizione energetica </w:t>
      </w:r>
    </w:p>
    <w:p w14:paraId="1C9D3AE5" w14:textId="77777777" w:rsidR="005D103F" w:rsidRDefault="005D103F" w:rsidP="005D103F">
      <w:pPr>
        <w:pStyle w:val="Nessunaspaziatura"/>
        <w:spacing w:line="276" w:lineRule="auto"/>
        <w:ind w:left="-284" w:right="-284"/>
        <w:jc w:val="both"/>
        <w:rPr>
          <w:rFonts w:asciiTheme="majorHAnsi" w:hAnsiTheme="majorHAnsi" w:cstheme="majorHAnsi"/>
          <w:b/>
          <w:bCs/>
          <w:color w:val="auto"/>
          <w:sz w:val="24"/>
          <w:szCs w:val="24"/>
        </w:rPr>
      </w:pPr>
    </w:p>
    <w:p w14:paraId="624B2B08" w14:textId="2A7D5AE0" w:rsidR="005D103F" w:rsidRPr="005D103F" w:rsidRDefault="005D103F" w:rsidP="005D103F">
      <w:pPr>
        <w:pStyle w:val="Nessunaspaziatura"/>
        <w:numPr>
          <w:ilvl w:val="0"/>
          <w:numId w:val="18"/>
        </w:numPr>
        <w:spacing w:line="276" w:lineRule="auto"/>
        <w:ind w:right="-284"/>
        <w:jc w:val="both"/>
        <w:rPr>
          <w:rFonts w:asciiTheme="majorHAnsi" w:hAnsiTheme="majorHAnsi" w:cstheme="majorHAnsi"/>
          <w:b/>
          <w:bCs/>
          <w:color w:val="1F497D" w:themeColor="text2"/>
          <w:sz w:val="24"/>
          <w:szCs w:val="24"/>
        </w:rPr>
      </w:pPr>
      <w:r w:rsidRPr="005D103F">
        <w:rPr>
          <w:rFonts w:asciiTheme="majorHAnsi" w:hAnsiTheme="majorHAnsi" w:cstheme="majorHAnsi"/>
          <w:b/>
          <w:bCs/>
          <w:color w:val="1F497D" w:themeColor="text2"/>
          <w:sz w:val="24"/>
          <w:szCs w:val="24"/>
        </w:rPr>
        <w:t>Semplificazione dragaggi portuali</w:t>
      </w:r>
    </w:p>
    <w:p w14:paraId="48257529" w14:textId="77777777" w:rsidR="005D103F" w:rsidRPr="00DC205C" w:rsidRDefault="005D103F" w:rsidP="005D103F">
      <w:pPr>
        <w:pStyle w:val="Nessunaspaziatura"/>
        <w:spacing w:line="276" w:lineRule="auto"/>
        <w:ind w:left="-284" w:right="-284"/>
        <w:jc w:val="both"/>
        <w:rPr>
          <w:rFonts w:asciiTheme="majorHAnsi" w:hAnsiTheme="majorHAnsi" w:cstheme="majorHAnsi"/>
          <w:b/>
          <w:bCs/>
          <w:color w:val="auto"/>
          <w:sz w:val="24"/>
          <w:szCs w:val="24"/>
        </w:rPr>
      </w:pPr>
      <w:r w:rsidRPr="00DC205C">
        <w:rPr>
          <w:rFonts w:asciiTheme="majorHAnsi" w:hAnsiTheme="majorHAnsi" w:cstheme="majorHAnsi"/>
          <w:b/>
          <w:bCs/>
          <w:color w:val="auto"/>
          <w:sz w:val="24"/>
          <w:szCs w:val="24"/>
        </w:rPr>
        <w:t>Proposta:</w:t>
      </w:r>
    </w:p>
    <w:p w14:paraId="600C723F" w14:textId="77777777" w:rsidR="005D103F" w:rsidRPr="00DC205C" w:rsidRDefault="005D103F" w:rsidP="005D103F">
      <w:pPr>
        <w:pStyle w:val="Nessunaspaziatura"/>
        <w:spacing w:line="276" w:lineRule="auto"/>
        <w:ind w:left="-284" w:right="-284"/>
        <w:jc w:val="both"/>
        <w:rPr>
          <w:rFonts w:asciiTheme="majorHAnsi" w:hAnsiTheme="majorHAnsi" w:cstheme="majorHAnsi"/>
          <w:color w:val="auto"/>
          <w:sz w:val="24"/>
          <w:szCs w:val="24"/>
        </w:rPr>
      </w:pPr>
      <w:r w:rsidRPr="00DC205C">
        <w:rPr>
          <w:rFonts w:asciiTheme="majorHAnsi" w:hAnsiTheme="majorHAnsi" w:cstheme="majorHAnsi"/>
          <w:color w:val="auto"/>
          <w:sz w:val="24"/>
          <w:szCs w:val="24"/>
        </w:rPr>
        <w:t>Adeguare lo schema di regolamento del Ministro dell’Ambiente e della Sicurezza Energetica recante “Disciplina semplificata della gestione delle terre e rocce da scavo, ai sensi dell’articolo 48 del decreto-legge 24 febbraio 2023, n.13”, ancora in fase di elaborazione, introducendo il riconoscimento del sedimento marino quale risorsa per l’economia circolare e non come un rifiuto.</w:t>
      </w:r>
    </w:p>
    <w:p w14:paraId="04A56F47" w14:textId="77777777" w:rsidR="005D103F" w:rsidRDefault="005D103F" w:rsidP="00DC205C">
      <w:pPr>
        <w:spacing w:line="276" w:lineRule="auto"/>
        <w:ind w:left="-284" w:right="-284"/>
        <w:jc w:val="both"/>
        <w:rPr>
          <w:rFonts w:asciiTheme="majorHAnsi" w:hAnsiTheme="majorHAnsi" w:cstheme="majorHAnsi"/>
        </w:rPr>
      </w:pPr>
    </w:p>
    <w:p w14:paraId="0352EABE" w14:textId="77777777" w:rsidR="005D103F" w:rsidRDefault="005D103F" w:rsidP="00DC205C">
      <w:pPr>
        <w:spacing w:line="276" w:lineRule="auto"/>
        <w:ind w:left="-284" w:right="-284"/>
        <w:jc w:val="both"/>
        <w:rPr>
          <w:rFonts w:asciiTheme="majorHAnsi" w:hAnsiTheme="majorHAnsi" w:cstheme="majorHAnsi"/>
        </w:rPr>
      </w:pPr>
    </w:p>
    <w:p w14:paraId="7E6776F2" w14:textId="77777777" w:rsidR="005D103F" w:rsidRDefault="005D103F" w:rsidP="00DC205C">
      <w:pPr>
        <w:spacing w:line="276" w:lineRule="auto"/>
        <w:ind w:left="-284" w:right="-284"/>
        <w:jc w:val="both"/>
        <w:rPr>
          <w:rFonts w:asciiTheme="majorHAnsi" w:hAnsiTheme="majorHAnsi" w:cstheme="majorHAnsi"/>
        </w:rPr>
      </w:pPr>
    </w:p>
    <w:p w14:paraId="493686F6" w14:textId="2D96D933" w:rsidR="00334EE4" w:rsidRPr="00DC205C" w:rsidRDefault="00334EE4" w:rsidP="005D103F">
      <w:pPr>
        <w:spacing w:line="276" w:lineRule="auto"/>
        <w:ind w:left="-284" w:right="-284"/>
        <w:rPr>
          <w:rFonts w:asciiTheme="majorHAnsi" w:hAnsiTheme="majorHAnsi" w:cstheme="majorHAnsi"/>
        </w:rPr>
      </w:pPr>
      <w:r w:rsidRPr="005D103F">
        <w:rPr>
          <w:rFonts w:asciiTheme="majorHAnsi" w:hAnsiTheme="majorHAnsi" w:cstheme="majorHAnsi"/>
          <w:b/>
          <w:bCs/>
          <w:color w:val="C0504D" w:themeColor="accent2"/>
        </w:rPr>
        <w:tab/>
      </w:r>
      <w:r w:rsidR="005D103F" w:rsidRPr="005D103F">
        <w:rPr>
          <w:rFonts w:asciiTheme="majorHAnsi" w:hAnsiTheme="majorHAnsi" w:cstheme="majorHAnsi"/>
          <w:b/>
          <w:bCs/>
          <w:color w:val="C0504D" w:themeColor="accent2"/>
        </w:rPr>
        <w:t>CONSIDERAZIONI SULLA TASSONOMIA</w:t>
      </w:r>
      <w:r w:rsidR="005D103F" w:rsidRPr="005D103F">
        <w:rPr>
          <w:rFonts w:asciiTheme="majorHAnsi" w:hAnsiTheme="majorHAnsi" w:cstheme="majorHAnsi"/>
          <w:color w:val="C0504D" w:themeColor="accent2"/>
        </w:rPr>
        <w:t xml:space="preserve"> </w:t>
      </w:r>
      <w:r w:rsidRPr="00DC205C">
        <w:rPr>
          <w:rFonts w:asciiTheme="majorHAnsi" w:hAnsiTheme="majorHAnsi" w:cstheme="majorHAnsi"/>
          <w:noProof/>
        </w:rPr>
        <w:drawing>
          <wp:inline distT="0" distB="0" distL="0" distR="0" wp14:anchorId="7E23A68B" wp14:editId="38B922C6">
            <wp:extent cx="6211570" cy="1454150"/>
            <wp:effectExtent l="0" t="0" r="0" b="0"/>
            <wp:docPr id="114898144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266" cy="1455483"/>
                    </a:xfrm>
                    <a:prstGeom prst="rect">
                      <a:avLst/>
                    </a:prstGeom>
                    <a:noFill/>
                    <a:ln>
                      <a:noFill/>
                    </a:ln>
                  </pic:spPr>
                </pic:pic>
              </a:graphicData>
            </a:graphic>
          </wp:inline>
        </w:drawing>
      </w:r>
    </w:p>
    <w:p w14:paraId="4BE46342" w14:textId="77777777" w:rsidR="00334EE4" w:rsidRPr="00DC205C" w:rsidRDefault="00334EE4" w:rsidP="00DC205C">
      <w:pPr>
        <w:spacing w:line="276" w:lineRule="auto"/>
        <w:ind w:left="-284" w:right="-284"/>
        <w:jc w:val="both"/>
        <w:rPr>
          <w:rFonts w:asciiTheme="majorHAnsi" w:hAnsiTheme="majorHAnsi" w:cstheme="majorHAnsi"/>
        </w:rPr>
      </w:pPr>
    </w:p>
    <w:p w14:paraId="13C0B74B" w14:textId="77777777" w:rsidR="00334EE4" w:rsidRPr="00DC205C" w:rsidRDefault="00334EE4" w:rsidP="00DC205C">
      <w:pPr>
        <w:pStyle w:val="Paragrafoelenco"/>
        <w:numPr>
          <w:ilvl w:val="0"/>
          <w:numId w:val="11"/>
        </w:numPr>
        <w:spacing w:line="276" w:lineRule="auto"/>
        <w:ind w:left="-284" w:right="-284"/>
        <w:jc w:val="both"/>
        <w:rPr>
          <w:rFonts w:asciiTheme="majorHAnsi" w:hAnsiTheme="majorHAnsi" w:cstheme="majorHAnsi"/>
          <w:b/>
          <w:bCs/>
          <w:sz w:val="24"/>
          <w:szCs w:val="24"/>
          <w:u w:val="single"/>
        </w:rPr>
      </w:pPr>
      <w:r w:rsidRPr="00DC205C">
        <w:rPr>
          <w:rFonts w:asciiTheme="majorHAnsi" w:hAnsiTheme="majorHAnsi" w:cstheme="majorHAnsi"/>
          <w:b/>
          <w:bCs/>
          <w:sz w:val="24"/>
          <w:szCs w:val="24"/>
          <w:u w:val="single"/>
        </w:rPr>
        <w:t>Trasporto Marittimo e Costiero di merci, Navi per operazioni portuali e Attività Ausiliarie (art. 6.10 e 6.11 per quanto concerne il Trasporto di Passeggeri) dell’Atto Delegato 2139/2021):</w:t>
      </w:r>
    </w:p>
    <w:p w14:paraId="63446354" w14:textId="77777777" w:rsidR="00334EE4" w:rsidRPr="00DC205C" w:rsidRDefault="00334EE4" w:rsidP="00DC205C">
      <w:pPr>
        <w:spacing w:line="276" w:lineRule="auto"/>
        <w:ind w:left="-284" w:right="-284"/>
        <w:jc w:val="both"/>
        <w:rPr>
          <w:rFonts w:asciiTheme="majorHAnsi" w:hAnsiTheme="majorHAnsi" w:cstheme="majorHAnsi"/>
          <w:b/>
          <w:bCs/>
        </w:rPr>
      </w:pPr>
      <w:r w:rsidRPr="00DC205C">
        <w:rPr>
          <w:rFonts w:asciiTheme="majorHAnsi" w:hAnsiTheme="majorHAnsi" w:cstheme="majorHAnsi"/>
        </w:rPr>
        <w:t xml:space="preserve">La criticità più rilevante è rappresentata dal “Criterio di Vaglio Tecnico” sub 2) laddove “Le navi non sono adibite al Trasporto di Combustibili Fossili”. Tale criterio non è coerente con la definizione di “Transizione” attribuita al settore del Trasporto Navale dall’art. 10.2 del Reg. 852/2020 (“Tassonomia”). Idem, si sposa poco con il fatto che la produzione di LNG è stata considerata attività in transizione con specifico Atto Delegato (2014/2022). </w:t>
      </w:r>
      <w:r w:rsidRPr="00DC205C">
        <w:rPr>
          <w:rFonts w:asciiTheme="majorHAnsi" w:hAnsiTheme="majorHAnsi" w:cstheme="majorHAnsi"/>
          <w:b/>
          <w:bCs/>
          <w:u w:val="single"/>
        </w:rPr>
        <w:t xml:space="preserve">Sarebbe opportuno fornire un’interpretazione puntuale da parte del MEF, nell’ambito dell’applicazione del manuale operativo, </w:t>
      </w:r>
      <w:proofErr w:type="spellStart"/>
      <w:r w:rsidRPr="00DC205C">
        <w:rPr>
          <w:rFonts w:asciiTheme="majorHAnsi" w:hAnsiTheme="majorHAnsi" w:cstheme="majorHAnsi"/>
          <w:b/>
          <w:bCs/>
          <w:u w:val="single"/>
        </w:rPr>
        <w:t>affinchè</w:t>
      </w:r>
      <w:proofErr w:type="spellEnd"/>
      <w:r w:rsidRPr="00DC205C">
        <w:rPr>
          <w:rFonts w:asciiTheme="majorHAnsi" w:hAnsiTheme="majorHAnsi" w:cstheme="majorHAnsi"/>
          <w:b/>
          <w:bCs/>
          <w:u w:val="single"/>
        </w:rPr>
        <w:t xml:space="preserve"> tale criterio sia razionalmente applicabile, sia alla luce dell’indisponibilità di alimentazione alternativa (RFNBO, etc.) sia perché non è l’armatore che decide l’oggetto del bene trasportato. In pratica ci potremmo trovare nel paradosso che una nave alimentata ad Idrogeno verde non sia allineata alla Tassonomia perché viene adibita al trasporto di carbone non per volontà dell’armatore, bensì del proprietario del carico. Andrà cercato un criterio di flessibilità interpretativa che aiuta l’applicazione flessibile di tale criterio. Ad esempio si potrebbe definire una soglia di operatività della nave su certe tipologie di merce (Fossili), oppure il fatto che la nave, di per se, non sia adibita a trasportare solo prodotti fossili (una nave tanker infatti non può essere identificata solo come adibita al trasporto di prodotti fossili liquidi, ma può trasportare anche prodotti edibili alimentari, quali acqua, olio vegetale; così come una nave bulk può trasportare all’origine non solo carbone, ma anche cereali, riso, zucchero, sale, etc.).</w:t>
      </w:r>
      <w:r w:rsidRPr="00DC205C">
        <w:rPr>
          <w:rFonts w:asciiTheme="majorHAnsi" w:hAnsiTheme="majorHAnsi" w:cstheme="majorHAnsi"/>
          <w:b/>
          <w:bCs/>
        </w:rPr>
        <w:t xml:space="preserve"> Ricordiamo che il Regolamento sulla Tassonomia ed i relativi Atti Delegati incidono sull’applicabilità dei programmi di finanziamento previsti dal PNRR e FCI</w:t>
      </w:r>
    </w:p>
    <w:p w14:paraId="51A3785D" w14:textId="77777777" w:rsidR="00334EE4" w:rsidRPr="00DC205C" w:rsidRDefault="00334EE4" w:rsidP="00DC205C">
      <w:pPr>
        <w:spacing w:line="276" w:lineRule="auto"/>
        <w:ind w:left="-284" w:right="-284"/>
        <w:jc w:val="both"/>
        <w:rPr>
          <w:rFonts w:asciiTheme="majorHAnsi" w:hAnsiTheme="majorHAnsi" w:cstheme="majorHAnsi"/>
        </w:rPr>
      </w:pPr>
    </w:p>
    <w:p w14:paraId="074D6261" w14:textId="77777777" w:rsidR="00334EE4" w:rsidRPr="00DC205C" w:rsidRDefault="00334EE4" w:rsidP="00DC205C">
      <w:pPr>
        <w:pStyle w:val="Paragrafoelenco"/>
        <w:numPr>
          <w:ilvl w:val="0"/>
          <w:numId w:val="11"/>
        </w:numPr>
        <w:spacing w:line="276" w:lineRule="auto"/>
        <w:ind w:left="-284" w:right="-284"/>
        <w:jc w:val="both"/>
        <w:rPr>
          <w:rFonts w:asciiTheme="majorHAnsi" w:hAnsiTheme="majorHAnsi" w:cstheme="majorHAnsi"/>
          <w:b/>
          <w:bCs/>
          <w:sz w:val="24"/>
          <w:szCs w:val="24"/>
          <w:u w:val="single"/>
        </w:rPr>
      </w:pPr>
      <w:r w:rsidRPr="00DC205C">
        <w:rPr>
          <w:rFonts w:asciiTheme="majorHAnsi" w:hAnsiTheme="majorHAnsi" w:cstheme="majorHAnsi"/>
          <w:b/>
          <w:bCs/>
          <w:sz w:val="24"/>
          <w:szCs w:val="24"/>
          <w:u w:val="single"/>
        </w:rPr>
        <w:t>Nuovi “Criteri di Vaglio Tecnico” applicabili post-2025:</w:t>
      </w:r>
    </w:p>
    <w:p w14:paraId="3EC3C781" w14:textId="77777777" w:rsidR="00334EE4" w:rsidRPr="00DC205C" w:rsidRDefault="00334EE4" w:rsidP="00DC205C">
      <w:pPr>
        <w:spacing w:line="276" w:lineRule="auto"/>
        <w:ind w:left="-284" w:right="-284"/>
        <w:jc w:val="both"/>
        <w:rPr>
          <w:rFonts w:asciiTheme="majorHAnsi" w:hAnsiTheme="majorHAnsi" w:cstheme="majorHAnsi"/>
        </w:rPr>
      </w:pPr>
      <w:r w:rsidRPr="00DC205C">
        <w:rPr>
          <w:rFonts w:asciiTheme="majorHAnsi" w:hAnsiTheme="majorHAnsi" w:cstheme="majorHAnsi"/>
        </w:rPr>
        <w:t xml:space="preserve">Con Atto Delegato 2485/2023 sono stati emanati i nuovi “Criteri di Vaglio Tecnico” applicabili dal 2026 e che hanno integrato i precedenti per quanto concerne i criteri sub 1) inserendo nuove metriche. In particolare è stato inserito sub punto f) che definisce un criterio basato sulla traiettoria di decarbonizzazione della normativa </w:t>
      </w:r>
      <w:proofErr w:type="spellStart"/>
      <w:r w:rsidRPr="00DC205C">
        <w:rPr>
          <w:rFonts w:asciiTheme="majorHAnsi" w:hAnsiTheme="majorHAnsi" w:cstheme="majorHAnsi"/>
        </w:rPr>
        <w:t>FuelEU</w:t>
      </w:r>
      <w:proofErr w:type="spellEnd"/>
      <w:r w:rsidRPr="00DC205C">
        <w:rPr>
          <w:rFonts w:asciiTheme="majorHAnsi" w:hAnsiTheme="majorHAnsi" w:cstheme="majorHAnsi"/>
        </w:rPr>
        <w:t xml:space="preserve"> ma con un </w:t>
      </w:r>
      <w:proofErr w:type="spellStart"/>
      <w:r w:rsidRPr="00DC205C">
        <w:rPr>
          <w:rFonts w:asciiTheme="majorHAnsi" w:hAnsiTheme="majorHAnsi" w:cstheme="majorHAnsi"/>
          <w:i/>
          <w:iCs/>
        </w:rPr>
        <w:t>decalage</w:t>
      </w:r>
      <w:proofErr w:type="spellEnd"/>
      <w:r w:rsidRPr="00DC205C">
        <w:rPr>
          <w:rFonts w:asciiTheme="majorHAnsi" w:hAnsiTheme="majorHAnsi" w:cstheme="majorHAnsi"/>
          <w:i/>
          <w:iCs/>
        </w:rPr>
        <w:t xml:space="preserve"> </w:t>
      </w:r>
      <w:r w:rsidRPr="00DC205C">
        <w:rPr>
          <w:rFonts w:asciiTheme="majorHAnsi" w:hAnsiTheme="majorHAnsi" w:cstheme="majorHAnsi"/>
        </w:rPr>
        <w:t xml:space="preserve">molto più forte e penalizzante in assenza di disponibilità di carburanti alternativi per il 2026. Sarebbe opportuno che tale criterio fosse revisionato ed emendato rendendolo maggiormente allineato alla reale situazione. L’ECSA, ad esempio, aveva suggerito una traiettoria con un </w:t>
      </w:r>
      <w:proofErr w:type="spellStart"/>
      <w:r w:rsidRPr="00DC205C">
        <w:rPr>
          <w:rFonts w:asciiTheme="majorHAnsi" w:hAnsiTheme="majorHAnsi" w:cstheme="majorHAnsi"/>
          <w:i/>
          <w:iCs/>
        </w:rPr>
        <w:t>decalage</w:t>
      </w:r>
      <w:proofErr w:type="spellEnd"/>
      <w:r w:rsidRPr="00DC205C">
        <w:rPr>
          <w:rFonts w:asciiTheme="majorHAnsi" w:hAnsiTheme="majorHAnsi" w:cstheme="majorHAnsi"/>
        </w:rPr>
        <w:t xml:space="preserve"> maggiormente attenuato nei primi quinquenni</w:t>
      </w:r>
    </w:p>
    <w:p w14:paraId="7F10CC29" w14:textId="77777777" w:rsidR="00334EE4" w:rsidRPr="00DC205C" w:rsidRDefault="00334EE4" w:rsidP="00DC205C">
      <w:pPr>
        <w:spacing w:line="276" w:lineRule="auto"/>
        <w:ind w:left="-284" w:right="-284"/>
        <w:jc w:val="both"/>
        <w:rPr>
          <w:rFonts w:asciiTheme="majorHAnsi" w:hAnsiTheme="majorHAnsi" w:cstheme="majorHAnsi"/>
        </w:rPr>
      </w:pPr>
    </w:p>
    <w:p w14:paraId="427532F0" w14:textId="77777777" w:rsidR="00334EE4" w:rsidRPr="00DC205C" w:rsidRDefault="00334EE4" w:rsidP="00DC205C">
      <w:pPr>
        <w:pStyle w:val="Paragrafoelenco"/>
        <w:numPr>
          <w:ilvl w:val="0"/>
          <w:numId w:val="11"/>
        </w:numPr>
        <w:spacing w:line="276" w:lineRule="auto"/>
        <w:ind w:left="-284" w:right="-284"/>
        <w:jc w:val="both"/>
        <w:rPr>
          <w:rFonts w:asciiTheme="majorHAnsi" w:hAnsiTheme="majorHAnsi" w:cstheme="majorHAnsi"/>
          <w:b/>
          <w:bCs/>
          <w:sz w:val="24"/>
          <w:szCs w:val="24"/>
          <w:u w:val="single"/>
        </w:rPr>
      </w:pPr>
      <w:r w:rsidRPr="00DC205C">
        <w:rPr>
          <w:rFonts w:asciiTheme="majorHAnsi" w:hAnsiTheme="majorHAnsi" w:cstheme="majorHAnsi"/>
          <w:b/>
          <w:bCs/>
          <w:sz w:val="24"/>
          <w:szCs w:val="24"/>
          <w:u w:val="single"/>
        </w:rPr>
        <w:t>Art. 6.16 (Infrastrutture che consentono il trasporto per vie d’acqua a basse emissioni di carbonio)</w:t>
      </w:r>
    </w:p>
    <w:p w14:paraId="252FE659" w14:textId="77777777" w:rsidR="00334EE4" w:rsidRPr="00DC205C" w:rsidRDefault="00334EE4" w:rsidP="00DC205C">
      <w:pPr>
        <w:spacing w:line="276" w:lineRule="auto"/>
        <w:ind w:left="-284" w:right="-284"/>
        <w:jc w:val="both"/>
        <w:rPr>
          <w:rFonts w:asciiTheme="majorHAnsi" w:hAnsiTheme="majorHAnsi" w:cstheme="majorHAnsi"/>
          <w:b/>
          <w:bCs/>
        </w:rPr>
      </w:pPr>
      <w:proofErr w:type="gramStart"/>
      <w:r w:rsidRPr="00DC205C">
        <w:rPr>
          <w:rFonts w:asciiTheme="majorHAnsi" w:hAnsiTheme="majorHAnsi" w:cstheme="majorHAnsi"/>
        </w:rPr>
        <w:t>E’</w:t>
      </w:r>
      <w:proofErr w:type="gramEnd"/>
      <w:r w:rsidRPr="00DC205C">
        <w:rPr>
          <w:rFonts w:asciiTheme="majorHAnsi" w:hAnsiTheme="majorHAnsi" w:cstheme="majorHAnsi"/>
        </w:rPr>
        <w:t xml:space="preserve"> stato segnalato, anche per il tramite di </w:t>
      </w:r>
      <w:proofErr w:type="spellStart"/>
      <w:r w:rsidRPr="00DC205C">
        <w:rPr>
          <w:rFonts w:asciiTheme="majorHAnsi" w:hAnsiTheme="majorHAnsi" w:cstheme="majorHAnsi"/>
        </w:rPr>
        <w:t>Feport</w:t>
      </w:r>
      <w:proofErr w:type="spellEnd"/>
      <w:r w:rsidRPr="00DC205C">
        <w:rPr>
          <w:rFonts w:asciiTheme="majorHAnsi" w:hAnsiTheme="majorHAnsi" w:cstheme="majorHAnsi"/>
        </w:rPr>
        <w:t xml:space="preserve">, che tale criterio non è chiaro in quanto fa riferimento ai Codici NACE F42.91) F 1.1) ed F 71.20) che non distinguono l’infrastruttura (Porto) dall’operatività (Terminal). Questa necessità di chiarezza è ancor più evidente nel nostro Paese in cui il modello </w:t>
      </w:r>
      <w:proofErr w:type="spellStart"/>
      <w:r w:rsidRPr="00DC205C">
        <w:rPr>
          <w:rFonts w:asciiTheme="majorHAnsi" w:hAnsiTheme="majorHAnsi" w:cstheme="majorHAnsi"/>
          <w:i/>
          <w:iCs/>
        </w:rPr>
        <w:t>landlord</w:t>
      </w:r>
      <w:proofErr w:type="spellEnd"/>
      <w:r w:rsidRPr="00DC205C">
        <w:rPr>
          <w:rFonts w:asciiTheme="majorHAnsi" w:hAnsiTheme="majorHAnsi" w:cstheme="majorHAnsi"/>
          <w:i/>
          <w:iCs/>
        </w:rPr>
        <w:t xml:space="preserve"> </w:t>
      </w:r>
      <w:r w:rsidRPr="00DC205C">
        <w:rPr>
          <w:rFonts w:asciiTheme="majorHAnsi" w:hAnsiTheme="majorHAnsi" w:cstheme="majorHAnsi"/>
        </w:rPr>
        <w:t xml:space="preserve">rende ben distinte le due funzioni. </w:t>
      </w:r>
      <w:r w:rsidRPr="00DC205C">
        <w:rPr>
          <w:rFonts w:asciiTheme="majorHAnsi" w:hAnsiTheme="majorHAnsi" w:cstheme="majorHAnsi"/>
          <w:b/>
          <w:bCs/>
        </w:rPr>
        <w:t xml:space="preserve">Sarebbe, pertanto opportuno inserire nell’ambito della tassonomia uno specifico richiamo ai Codice NACE H52.2) che si riferiscono alle attività di servizio, supporto e magazzinaggio, ricomprendendovi, dunque, anche le funzioni tipiche dell’attività svolta dal concessionario. Si evidenzia, inoltre, che tra i “Criteri di Vaglio Tecnico”, anche per questa categoria, viene inserito il </w:t>
      </w:r>
      <w:proofErr w:type="gramStart"/>
      <w:r w:rsidRPr="00DC205C">
        <w:rPr>
          <w:rFonts w:asciiTheme="majorHAnsi" w:hAnsiTheme="majorHAnsi" w:cstheme="majorHAnsi"/>
          <w:b/>
          <w:bCs/>
        </w:rPr>
        <w:t>seguente :</w:t>
      </w:r>
      <w:proofErr w:type="gramEnd"/>
      <w:r w:rsidRPr="00DC205C">
        <w:rPr>
          <w:rFonts w:asciiTheme="majorHAnsi" w:hAnsiTheme="majorHAnsi" w:cstheme="majorHAnsi"/>
          <w:b/>
          <w:bCs/>
        </w:rPr>
        <w:t xml:space="preserve"> “L’Infrastruttura non è adibita al trasporto ed allo stoccaggio di prodotti fossili”. Anche in questo caso vale il ragionamento relativo al trasporto marittimo, laddove il nostro Governo ha più volte annunciato un forte sostegno, tramite i fondi del PNRR/FC, allo sviluppo di un’idonea rete di Terminal per l’approvvigionamento del LNG. Tale iniziativa sarebbe vanificata in assenza di un’interpretazione appropriata del suddetto “Criterio di Vaglio Tecnico”</w:t>
      </w:r>
    </w:p>
    <w:p w14:paraId="2DF82F32" w14:textId="39A4B0E9" w:rsidR="00334EE4" w:rsidRPr="00DC205C" w:rsidRDefault="00334EE4" w:rsidP="00DC205C">
      <w:pPr>
        <w:pStyle w:val="Paragrafoelenco"/>
        <w:spacing w:before="100" w:beforeAutospacing="1" w:after="100" w:afterAutospacing="1" w:line="276" w:lineRule="auto"/>
        <w:ind w:left="-284" w:right="-284"/>
        <w:contextualSpacing w:val="0"/>
        <w:jc w:val="both"/>
        <w:rPr>
          <w:rFonts w:asciiTheme="majorHAnsi" w:eastAsia="Times New Roman" w:hAnsiTheme="majorHAnsi" w:cstheme="majorHAnsi"/>
          <w:b/>
          <w:bCs/>
          <w:sz w:val="24"/>
          <w:szCs w:val="24"/>
        </w:rPr>
      </w:pPr>
    </w:p>
    <w:p w14:paraId="642517B9" w14:textId="77777777" w:rsidR="0052509E" w:rsidRPr="00DC205C" w:rsidRDefault="00677A72" w:rsidP="00DC205C">
      <w:pPr>
        <w:spacing w:before="100" w:beforeAutospacing="1" w:after="100" w:afterAutospacing="1" w:line="276" w:lineRule="auto"/>
        <w:ind w:left="-284" w:right="-284"/>
        <w:jc w:val="both"/>
        <w:rPr>
          <w:rFonts w:asciiTheme="majorHAnsi" w:eastAsia="Times New Roman" w:hAnsiTheme="majorHAnsi" w:cstheme="majorHAnsi"/>
        </w:rPr>
      </w:pPr>
      <w:r w:rsidRPr="00DC205C">
        <w:rPr>
          <w:rFonts w:asciiTheme="majorHAnsi" w:eastAsia="Times New Roman" w:hAnsiTheme="majorHAnsi" w:cstheme="majorHAnsi"/>
        </w:rPr>
        <w:t xml:space="preserve">Distinti saluti, </w:t>
      </w:r>
    </w:p>
    <w:p w14:paraId="4E360B4C" w14:textId="7E0BFCBB" w:rsidR="00677A72" w:rsidRPr="00DC205C" w:rsidRDefault="00677A72" w:rsidP="00DC205C">
      <w:pPr>
        <w:spacing w:before="100" w:beforeAutospacing="1" w:after="100" w:afterAutospacing="1" w:line="276" w:lineRule="auto"/>
        <w:ind w:left="-284" w:right="-284"/>
        <w:jc w:val="both"/>
        <w:rPr>
          <w:rFonts w:asciiTheme="majorHAnsi" w:eastAsia="Times New Roman" w:hAnsiTheme="majorHAnsi" w:cstheme="majorHAnsi"/>
        </w:rPr>
      </w:pPr>
      <w:r w:rsidRPr="00DC205C">
        <w:rPr>
          <w:rFonts w:asciiTheme="majorHAnsi" w:eastAsia="Times New Roman" w:hAnsiTheme="majorHAnsi" w:cstheme="majorHAnsi"/>
        </w:rPr>
        <w:t>ASSITERMINAL</w:t>
      </w:r>
    </w:p>
    <w:p w14:paraId="31717C31" w14:textId="6A4C551D" w:rsidR="00ED1DDC" w:rsidRPr="00DC205C" w:rsidRDefault="00ED1DDC" w:rsidP="00DC205C">
      <w:pPr>
        <w:tabs>
          <w:tab w:val="left" w:pos="2985"/>
        </w:tabs>
        <w:spacing w:before="100" w:beforeAutospacing="1" w:after="100" w:afterAutospacing="1" w:line="276" w:lineRule="auto"/>
        <w:ind w:left="-284" w:right="-284"/>
        <w:jc w:val="both"/>
        <w:rPr>
          <w:rFonts w:asciiTheme="majorHAnsi" w:hAnsiTheme="majorHAnsi" w:cstheme="majorHAnsi"/>
        </w:rPr>
      </w:pPr>
    </w:p>
    <w:sectPr w:rsidR="00ED1DDC" w:rsidRPr="00DC205C" w:rsidSect="002E145D">
      <w:headerReference w:type="default" r:id="rId9"/>
      <w:footerReference w:type="default" r:id="rId10"/>
      <w:pgSz w:w="11900" w:h="16840"/>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C08A9" w14:textId="77777777" w:rsidR="008A629C" w:rsidRDefault="008A629C" w:rsidP="002E145D">
      <w:r>
        <w:separator/>
      </w:r>
    </w:p>
  </w:endnote>
  <w:endnote w:type="continuationSeparator" w:id="0">
    <w:p w14:paraId="4649F82C" w14:textId="77777777" w:rsidR="008A629C" w:rsidRDefault="008A629C" w:rsidP="002E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77882" w14:textId="3D4C5B3E" w:rsidR="002E145D" w:rsidRDefault="00D4277C" w:rsidP="00D4277C">
    <w:pPr>
      <w:pStyle w:val="Pidipagina"/>
      <w:tabs>
        <w:tab w:val="clear" w:pos="4153"/>
        <w:tab w:val="clear" w:pos="8306"/>
        <w:tab w:val="left" w:pos="4720"/>
      </w:tabs>
      <w:ind w:left="-1418"/>
    </w:pPr>
    <w:r>
      <w:rPr>
        <w:noProof/>
      </w:rPr>
      <w:drawing>
        <wp:inline distT="0" distB="0" distL="0" distR="0" wp14:anchorId="35553C64" wp14:editId="4398147D">
          <wp:extent cx="7200491" cy="68448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563782" cy="7190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5A3BD" w14:textId="77777777" w:rsidR="008A629C" w:rsidRDefault="008A629C" w:rsidP="002E145D">
      <w:r>
        <w:separator/>
      </w:r>
    </w:p>
  </w:footnote>
  <w:footnote w:type="continuationSeparator" w:id="0">
    <w:p w14:paraId="2864CFCD" w14:textId="77777777" w:rsidR="008A629C" w:rsidRDefault="008A629C" w:rsidP="002E145D">
      <w:r>
        <w:continuationSeparator/>
      </w:r>
    </w:p>
  </w:footnote>
  <w:footnote w:id="1">
    <w:p w14:paraId="374A1631" w14:textId="77777777" w:rsidR="00334EE4" w:rsidRPr="00BD773E" w:rsidRDefault="00334EE4" w:rsidP="00334EE4">
      <w:pPr>
        <w:pStyle w:val="Testonotaapidipagina"/>
        <w:rPr>
          <w:rFonts w:ascii="Calibri" w:hAnsi="Calibri" w:cs="Calibri"/>
          <w:i/>
          <w:iCs/>
        </w:rPr>
      </w:pPr>
      <w:r w:rsidRPr="00BD773E">
        <w:rPr>
          <w:rStyle w:val="Rimandonotaapidipagina"/>
          <w:rFonts w:ascii="Calibri" w:hAnsi="Calibri" w:cs="Calibri"/>
        </w:rPr>
        <w:footnoteRef/>
      </w:r>
      <w:r w:rsidRPr="00BD773E">
        <w:rPr>
          <w:rFonts w:ascii="Calibri" w:hAnsi="Calibri" w:cs="Calibri"/>
        </w:rPr>
        <w:t xml:space="preserve"> Recante </w:t>
      </w:r>
      <w:r w:rsidRPr="00BD773E">
        <w:rPr>
          <w:rFonts w:ascii="Calibri" w:hAnsi="Calibri" w:cs="Calibri"/>
          <w:i/>
          <w:iCs/>
        </w:rPr>
        <w:t>Misure urgenti per contrastare gli effetti economici e umanitari della crisi ucraina.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1EC6B" w14:textId="77777777" w:rsidR="002E145D" w:rsidRPr="002E145D" w:rsidRDefault="009A3E81" w:rsidP="002E145D">
    <w:pPr>
      <w:pStyle w:val="Intestazione"/>
      <w:ind w:hanging="1800"/>
    </w:pPr>
    <w:r>
      <w:rPr>
        <w:noProof/>
        <w:lang w:val="en-US"/>
      </w:rPr>
      <w:drawing>
        <wp:inline distT="0" distB="0" distL="0" distR="0" wp14:anchorId="406A29C3" wp14:editId="43D0E40C">
          <wp:extent cx="7543800" cy="877080"/>
          <wp:effectExtent l="0" t="0" r="0" b="1206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a_intestata-01-01.jpg"/>
                  <pic:cNvPicPr/>
                </pic:nvPicPr>
                <pic:blipFill>
                  <a:blip r:embed="rId1">
                    <a:extLst>
                      <a:ext uri="{28A0092B-C50C-407E-A947-70E740481C1C}">
                        <a14:useLocalDpi xmlns:a14="http://schemas.microsoft.com/office/drawing/2010/main" val="0"/>
                      </a:ext>
                    </a:extLst>
                  </a:blip>
                  <a:stretch>
                    <a:fillRect/>
                  </a:stretch>
                </pic:blipFill>
                <pic:spPr>
                  <a:xfrm>
                    <a:off x="0" y="0"/>
                    <a:ext cx="7543800" cy="877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4EC4"/>
    <w:multiLevelType w:val="hybridMultilevel"/>
    <w:tmpl w:val="3C12D2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E107A40"/>
    <w:multiLevelType w:val="hybridMultilevel"/>
    <w:tmpl w:val="99D89776"/>
    <w:lvl w:ilvl="0" w:tplc="518E15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73662D"/>
    <w:multiLevelType w:val="hybridMultilevel"/>
    <w:tmpl w:val="8E060DD4"/>
    <w:lvl w:ilvl="0" w:tplc="6E401262">
      <w:start w:val="1"/>
      <w:numFmt w:val="lowerLetter"/>
      <w:lvlText w:val="%1)"/>
      <w:lvlJc w:val="left"/>
      <w:pPr>
        <w:ind w:left="-284" w:hanging="360"/>
      </w:pPr>
      <w:rPr>
        <w:rFonts w:hint="default"/>
      </w:rPr>
    </w:lvl>
    <w:lvl w:ilvl="1" w:tplc="04100019" w:tentative="1">
      <w:start w:val="1"/>
      <w:numFmt w:val="lowerLetter"/>
      <w:lvlText w:val="%2."/>
      <w:lvlJc w:val="left"/>
      <w:pPr>
        <w:ind w:left="436" w:hanging="360"/>
      </w:pPr>
    </w:lvl>
    <w:lvl w:ilvl="2" w:tplc="0410001B" w:tentative="1">
      <w:start w:val="1"/>
      <w:numFmt w:val="lowerRoman"/>
      <w:lvlText w:val="%3."/>
      <w:lvlJc w:val="right"/>
      <w:pPr>
        <w:ind w:left="1156" w:hanging="180"/>
      </w:pPr>
    </w:lvl>
    <w:lvl w:ilvl="3" w:tplc="0410000F" w:tentative="1">
      <w:start w:val="1"/>
      <w:numFmt w:val="decimal"/>
      <w:lvlText w:val="%4."/>
      <w:lvlJc w:val="left"/>
      <w:pPr>
        <w:ind w:left="1876" w:hanging="360"/>
      </w:pPr>
    </w:lvl>
    <w:lvl w:ilvl="4" w:tplc="04100019" w:tentative="1">
      <w:start w:val="1"/>
      <w:numFmt w:val="lowerLetter"/>
      <w:lvlText w:val="%5."/>
      <w:lvlJc w:val="left"/>
      <w:pPr>
        <w:ind w:left="2596" w:hanging="360"/>
      </w:pPr>
    </w:lvl>
    <w:lvl w:ilvl="5" w:tplc="0410001B" w:tentative="1">
      <w:start w:val="1"/>
      <w:numFmt w:val="lowerRoman"/>
      <w:lvlText w:val="%6."/>
      <w:lvlJc w:val="right"/>
      <w:pPr>
        <w:ind w:left="3316" w:hanging="180"/>
      </w:pPr>
    </w:lvl>
    <w:lvl w:ilvl="6" w:tplc="0410000F" w:tentative="1">
      <w:start w:val="1"/>
      <w:numFmt w:val="decimal"/>
      <w:lvlText w:val="%7."/>
      <w:lvlJc w:val="left"/>
      <w:pPr>
        <w:ind w:left="4036" w:hanging="360"/>
      </w:pPr>
    </w:lvl>
    <w:lvl w:ilvl="7" w:tplc="04100019" w:tentative="1">
      <w:start w:val="1"/>
      <w:numFmt w:val="lowerLetter"/>
      <w:lvlText w:val="%8."/>
      <w:lvlJc w:val="left"/>
      <w:pPr>
        <w:ind w:left="4756" w:hanging="360"/>
      </w:pPr>
    </w:lvl>
    <w:lvl w:ilvl="8" w:tplc="0410001B" w:tentative="1">
      <w:start w:val="1"/>
      <w:numFmt w:val="lowerRoman"/>
      <w:lvlText w:val="%9."/>
      <w:lvlJc w:val="right"/>
      <w:pPr>
        <w:ind w:left="5476" w:hanging="180"/>
      </w:pPr>
    </w:lvl>
  </w:abstractNum>
  <w:abstractNum w:abstractNumId="3" w15:restartNumberingAfterBreak="0">
    <w:nsid w:val="35815A0D"/>
    <w:multiLevelType w:val="hybridMultilevel"/>
    <w:tmpl w:val="5C383126"/>
    <w:lvl w:ilvl="0" w:tplc="275A2D8A">
      <w:start w:val="1"/>
      <w:numFmt w:val="lowerLetter"/>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4" w15:restartNumberingAfterBreak="0">
    <w:nsid w:val="35827535"/>
    <w:multiLevelType w:val="hybridMultilevel"/>
    <w:tmpl w:val="A2CCD47A"/>
    <w:lvl w:ilvl="0" w:tplc="0B5C3668">
      <w:start w:val="1"/>
      <w:numFmt w:val="lowerLetter"/>
      <w:lvlText w:val="%1)"/>
      <w:lvlJc w:val="left"/>
      <w:pPr>
        <w:ind w:left="720" w:hanging="360"/>
      </w:pPr>
      <w:rPr>
        <w:rFonts w:ascii="Calibri" w:eastAsia="Calibri" w:hAnsi="Calibri" w:cs="Times New Roman"/>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FAB4CF7"/>
    <w:multiLevelType w:val="hybridMultilevel"/>
    <w:tmpl w:val="ADB230E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2E517B5"/>
    <w:multiLevelType w:val="hybridMultilevel"/>
    <w:tmpl w:val="52BEB8C6"/>
    <w:lvl w:ilvl="0" w:tplc="ED8A831C">
      <w:start w:val="2"/>
      <w:numFmt w:val="lowerLetter"/>
      <w:lvlText w:val="%1)"/>
      <w:lvlJc w:val="left"/>
      <w:pPr>
        <w:ind w:left="-94" w:hanging="360"/>
      </w:pPr>
      <w:rPr>
        <w:rFonts w:hint="default"/>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7" w15:restartNumberingAfterBreak="0">
    <w:nsid w:val="4A3D53B5"/>
    <w:multiLevelType w:val="hybridMultilevel"/>
    <w:tmpl w:val="468CEC34"/>
    <w:lvl w:ilvl="0" w:tplc="9AF08650">
      <w:start w:val="1"/>
      <w:numFmt w:val="upperLetter"/>
      <w:lvlText w:val="%1)"/>
      <w:lvlJc w:val="left"/>
      <w:pPr>
        <w:ind w:left="-94" w:hanging="360"/>
      </w:pPr>
      <w:rPr>
        <w:rFonts w:hint="default"/>
        <w:b/>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8" w15:restartNumberingAfterBreak="0">
    <w:nsid w:val="4D527D3E"/>
    <w:multiLevelType w:val="hybridMultilevel"/>
    <w:tmpl w:val="A7944BF6"/>
    <w:lvl w:ilvl="0" w:tplc="C9182A22">
      <w:start w:val="6"/>
      <w:numFmt w:val="decimal"/>
      <w:lvlText w:val="%1."/>
      <w:lvlJc w:val="left"/>
      <w:pPr>
        <w:ind w:left="720" w:hanging="360"/>
      </w:pPr>
      <w:rPr>
        <w:rFonts w:asciiTheme="majorHAnsi" w:eastAsia="Times New Roman" w:hAnsiTheme="majorHAnsi" w:cstheme="maj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825572F"/>
    <w:multiLevelType w:val="hybridMultilevel"/>
    <w:tmpl w:val="34AACFD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9E274FA"/>
    <w:multiLevelType w:val="hybridMultilevel"/>
    <w:tmpl w:val="8D5EC6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8625AF"/>
    <w:multiLevelType w:val="hybridMultilevel"/>
    <w:tmpl w:val="FB6E492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7A85C75"/>
    <w:multiLevelType w:val="hybridMultilevel"/>
    <w:tmpl w:val="E9F648F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161093"/>
    <w:multiLevelType w:val="hybridMultilevel"/>
    <w:tmpl w:val="5ABE94D6"/>
    <w:lvl w:ilvl="0" w:tplc="8C947A96">
      <w:start w:val="1"/>
      <w:numFmt w:val="lowerLetter"/>
      <w:lvlText w:val="%1)"/>
      <w:lvlJc w:val="left"/>
      <w:pPr>
        <w:ind w:left="-94" w:hanging="360"/>
      </w:pPr>
      <w:rPr>
        <w:rFonts w:eastAsiaTheme="minorHAnsi" w:hint="default"/>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14" w15:restartNumberingAfterBreak="0">
    <w:nsid w:val="79EE78E0"/>
    <w:multiLevelType w:val="hybridMultilevel"/>
    <w:tmpl w:val="37D689A0"/>
    <w:lvl w:ilvl="0" w:tplc="D630B166">
      <w:start w:val="1"/>
      <w:numFmt w:val="lowerLetter"/>
      <w:lvlText w:val="%1)"/>
      <w:lvlJc w:val="left"/>
      <w:pPr>
        <w:ind w:left="-94" w:hanging="360"/>
      </w:pPr>
      <w:rPr>
        <w:rFonts w:hint="default"/>
        <w:b/>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num w:numId="1" w16cid:durableId="1251162724">
    <w:abstractNumId w:val="10"/>
  </w:num>
  <w:num w:numId="2" w16cid:durableId="856113087">
    <w:abstractNumId w:val="11"/>
  </w:num>
  <w:num w:numId="3" w16cid:durableId="1568413420">
    <w:abstractNumId w:val="4"/>
    <w:lvlOverride w:ilvl="0">
      <w:startOverride w:val="1"/>
    </w:lvlOverride>
    <w:lvlOverride w:ilvl="1"/>
    <w:lvlOverride w:ilvl="2"/>
    <w:lvlOverride w:ilvl="3"/>
    <w:lvlOverride w:ilvl="4"/>
    <w:lvlOverride w:ilvl="5"/>
    <w:lvlOverride w:ilvl="6"/>
    <w:lvlOverride w:ilvl="7"/>
    <w:lvlOverride w:ilvl="8"/>
  </w:num>
  <w:num w:numId="4" w16cid:durableId="195848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9620433">
    <w:abstractNumId w:val="4"/>
  </w:num>
  <w:num w:numId="6" w16cid:durableId="1013411598">
    <w:abstractNumId w:val="0"/>
  </w:num>
  <w:num w:numId="7" w16cid:durableId="901134667">
    <w:abstractNumId w:val="11"/>
  </w:num>
  <w:num w:numId="8" w16cid:durableId="640693205">
    <w:abstractNumId w:val="5"/>
  </w:num>
  <w:num w:numId="9" w16cid:durableId="130170641">
    <w:abstractNumId w:val="1"/>
  </w:num>
  <w:num w:numId="10" w16cid:durableId="1788814483">
    <w:abstractNumId w:val="8"/>
  </w:num>
  <w:num w:numId="11" w16cid:durableId="102069825">
    <w:abstractNumId w:val="12"/>
  </w:num>
  <w:num w:numId="12" w16cid:durableId="1689062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85536">
    <w:abstractNumId w:val="7"/>
  </w:num>
  <w:num w:numId="14" w16cid:durableId="1716544918">
    <w:abstractNumId w:val="6"/>
  </w:num>
  <w:num w:numId="15" w16cid:durableId="39287875">
    <w:abstractNumId w:val="14"/>
  </w:num>
  <w:num w:numId="16" w16cid:durableId="1157846503">
    <w:abstractNumId w:val="13"/>
  </w:num>
  <w:num w:numId="17" w16cid:durableId="1683554364">
    <w:abstractNumId w:val="2"/>
  </w:num>
  <w:num w:numId="18" w16cid:durableId="343940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5D"/>
    <w:rsid w:val="00065A82"/>
    <w:rsid w:val="00085F9B"/>
    <w:rsid w:val="000A2222"/>
    <w:rsid w:val="000B0864"/>
    <w:rsid w:val="000F4B8F"/>
    <w:rsid w:val="0012668E"/>
    <w:rsid w:val="00153391"/>
    <w:rsid w:val="0019100C"/>
    <w:rsid w:val="001C3A1A"/>
    <w:rsid w:val="001D2256"/>
    <w:rsid w:val="001F45F8"/>
    <w:rsid w:val="001F7F54"/>
    <w:rsid w:val="00233766"/>
    <w:rsid w:val="00255DF6"/>
    <w:rsid w:val="0026313C"/>
    <w:rsid w:val="002749FD"/>
    <w:rsid w:val="00293C49"/>
    <w:rsid w:val="002D3E09"/>
    <w:rsid w:val="002E0CF2"/>
    <w:rsid w:val="002E145D"/>
    <w:rsid w:val="002F7F44"/>
    <w:rsid w:val="003314DE"/>
    <w:rsid w:val="00334EE4"/>
    <w:rsid w:val="003410E2"/>
    <w:rsid w:val="00363E2E"/>
    <w:rsid w:val="00365F18"/>
    <w:rsid w:val="003933D0"/>
    <w:rsid w:val="00394D83"/>
    <w:rsid w:val="003D7686"/>
    <w:rsid w:val="003E3A32"/>
    <w:rsid w:val="00443306"/>
    <w:rsid w:val="00443860"/>
    <w:rsid w:val="004A1A6F"/>
    <w:rsid w:val="004B5CF2"/>
    <w:rsid w:val="004E5D36"/>
    <w:rsid w:val="004F4A34"/>
    <w:rsid w:val="00505254"/>
    <w:rsid w:val="0052509E"/>
    <w:rsid w:val="00525C21"/>
    <w:rsid w:val="00534D5F"/>
    <w:rsid w:val="005404C0"/>
    <w:rsid w:val="00565417"/>
    <w:rsid w:val="005742F8"/>
    <w:rsid w:val="005923B3"/>
    <w:rsid w:val="005C2C55"/>
    <w:rsid w:val="005D103F"/>
    <w:rsid w:val="005D3909"/>
    <w:rsid w:val="00600D2D"/>
    <w:rsid w:val="0063082E"/>
    <w:rsid w:val="00633FFC"/>
    <w:rsid w:val="006746E3"/>
    <w:rsid w:val="00677A72"/>
    <w:rsid w:val="006B40AA"/>
    <w:rsid w:val="006D7EA5"/>
    <w:rsid w:val="00750BE0"/>
    <w:rsid w:val="007932C4"/>
    <w:rsid w:val="007A12AB"/>
    <w:rsid w:val="007B3ECE"/>
    <w:rsid w:val="007C1C3C"/>
    <w:rsid w:val="00804DEF"/>
    <w:rsid w:val="00827F86"/>
    <w:rsid w:val="008354F9"/>
    <w:rsid w:val="008414E2"/>
    <w:rsid w:val="0086507B"/>
    <w:rsid w:val="0089688B"/>
    <w:rsid w:val="008A629C"/>
    <w:rsid w:val="008E27C4"/>
    <w:rsid w:val="00904C59"/>
    <w:rsid w:val="009279ED"/>
    <w:rsid w:val="00952090"/>
    <w:rsid w:val="00955CA5"/>
    <w:rsid w:val="00987138"/>
    <w:rsid w:val="009A3E81"/>
    <w:rsid w:val="009D6B09"/>
    <w:rsid w:val="00A34B98"/>
    <w:rsid w:val="00A65AEC"/>
    <w:rsid w:val="00A93E16"/>
    <w:rsid w:val="00A9603B"/>
    <w:rsid w:val="00AD1B3B"/>
    <w:rsid w:val="00B06FF2"/>
    <w:rsid w:val="00B1304A"/>
    <w:rsid w:val="00B52A27"/>
    <w:rsid w:val="00B921F7"/>
    <w:rsid w:val="00BA07BE"/>
    <w:rsid w:val="00BB0A2A"/>
    <w:rsid w:val="00BF1524"/>
    <w:rsid w:val="00BF67E0"/>
    <w:rsid w:val="00C04CB0"/>
    <w:rsid w:val="00C05B50"/>
    <w:rsid w:val="00C81F52"/>
    <w:rsid w:val="00C905A7"/>
    <w:rsid w:val="00C92F8F"/>
    <w:rsid w:val="00CC39F5"/>
    <w:rsid w:val="00CF3317"/>
    <w:rsid w:val="00D129FC"/>
    <w:rsid w:val="00D359C3"/>
    <w:rsid w:val="00D4277C"/>
    <w:rsid w:val="00D6243F"/>
    <w:rsid w:val="00D77D4C"/>
    <w:rsid w:val="00D77FC7"/>
    <w:rsid w:val="00D90597"/>
    <w:rsid w:val="00DC205C"/>
    <w:rsid w:val="00E40AA9"/>
    <w:rsid w:val="00E73CA1"/>
    <w:rsid w:val="00EA3CED"/>
    <w:rsid w:val="00EB64B9"/>
    <w:rsid w:val="00EC06C2"/>
    <w:rsid w:val="00ED1DDC"/>
    <w:rsid w:val="00ED6529"/>
    <w:rsid w:val="00EF4296"/>
    <w:rsid w:val="00F05E57"/>
    <w:rsid w:val="00F10CD0"/>
    <w:rsid w:val="00F44961"/>
    <w:rsid w:val="00FA16E1"/>
    <w:rsid w:val="00FC5F5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B91B13"/>
  <w14:defaultImageDpi w14:val="300"/>
  <w15:docId w15:val="{ABF168EE-5484-7641-AB75-D4383408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34E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6D7EA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ED1DDC"/>
    <w:pPr>
      <w:keepNext/>
      <w:keepLines/>
      <w:spacing w:before="480"/>
      <w:ind w:left="840" w:hanging="840"/>
      <w:jc w:val="both"/>
      <w:outlineLvl w:val="2"/>
    </w:pPr>
    <w:rPr>
      <w:rFonts w:ascii="Arial" w:eastAsia="Times New Roman" w:hAnsi="Arial" w:cs="Arial"/>
      <w:b/>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145D"/>
    <w:pPr>
      <w:tabs>
        <w:tab w:val="center" w:pos="4153"/>
        <w:tab w:val="right" w:pos="8306"/>
      </w:tabs>
    </w:pPr>
  </w:style>
  <w:style w:type="character" w:customStyle="1" w:styleId="IntestazioneCarattere">
    <w:name w:val="Intestazione Carattere"/>
    <w:basedOn w:val="Carpredefinitoparagrafo"/>
    <w:link w:val="Intestazione"/>
    <w:uiPriority w:val="99"/>
    <w:rsid w:val="002E145D"/>
  </w:style>
  <w:style w:type="paragraph" w:styleId="Pidipagina">
    <w:name w:val="footer"/>
    <w:basedOn w:val="Normale"/>
    <w:link w:val="PidipaginaCarattere"/>
    <w:uiPriority w:val="99"/>
    <w:unhideWhenUsed/>
    <w:rsid w:val="002E145D"/>
    <w:pPr>
      <w:tabs>
        <w:tab w:val="center" w:pos="4153"/>
        <w:tab w:val="right" w:pos="8306"/>
      </w:tabs>
    </w:pPr>
  </w:style>
  <w:style w:type="character" w:customStyle="1" w:styleId="PidipaginaCarattere">
    <w:name w:val="Piè di pagina Carattere"/>
    <w:basedOn w:val="Carpredefinitoparagrafo"/>
    <w:link w:val="Pidipagina"/>
    <w:uiPriority w:val="99"/>
    <w:rsid w:val="002E145D"/>
  </w:style>
  <w:style w:type="paragraph" w:styleId="Testofumetto">
    <w:name w:val="Balloon Text"/>
    <w:basedOn w:val="Normale"/>
    <w:link w:val="TestofumettoCarattere"/>
    <w:uiPriority w:val="99"/>
    <w:semiHidden/>
    <w:unhideWhenUsed/>
    <w:rsid w:val="002E145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E145D"/>
    <w:rPr>
      <w:rFonts w:ascii="Lucida Grande" w:hAnsi="Lucida Grande" w:cs="Lucida Grande"/>
      <w:sz w:val="18"/>
      <w:szCs w:val="18"/>
    </w:rPr>
  </w:style>
  <w:style w:type="character" w:customStyle="1" w:styleId="Titolo3Carattere">
    <w:name w:val="Titolo 3 Carattere"/>
    <w:basedOn w:val="Carpredefinitoparagrafo"/>
    <w:link w:val="Titolo3"/>
    <w:rsid w:val="00ED1DDC"/>
    <w:rPr>
      <w:rFonts w:ascii="Arial" w:eastAsia="Times New Roman" w:hAnsi="Arial" w:cs="Arial"/>
      <w:b/>
      <w:lang w:val="en-US"/>
    </w:rPr>
  </w:style>
  <w:style w:type="paragraph" w:styleId="Paragrafoelenco">
    <w:name w:val="List Paragraph"/>
    <w:basedOn w:val="Normale"/>
    <w:uiPriority w:val="34"/>
    <w:qFormat/>
    <w:rsid w:val="002F7F44"/>
    <w:pPr>
      <w:spacing w:after="160" w:line="259" w:lineRule="auto"/>
      <w:ind w:left="720"/>
      <w:contextualSpacing/>
    </w:pPr>
    <w:rPr>
      <w:rFonts w:eastAsiaTheme="minorHAnsi"/>
      <w:kern w:val="2"/>
      <w:sz w:val="22"/>
      <w:szCs w:val="22"/>
      <w14:ligatures w14:val="standardContextual"/>
    </w:rPr>
  </w:style>
  <w:style w:type="paragraph" w:styleId="Nessunaspaziatura">
    <w:name w:val="No Spacing"/>
    <w:uiPriority w:val="1"/>
    <w:qFormat/>
    <w:rsid w:val="0026313C"/>
    <w:rPr>
      <w:rFonts w:ascii="Calibri" w:eastAsia="Arial Unicode MS" w:hAnsi="Calibri" w:cs="Arial Unicode MS"/>
      <w:color w:val="000000"/>
      <w:kern w:val="2"/>
      <w:sz w:val="22"/>
      <w:szCs w:val="22"/>
      <w:u w:color="000000"/>
      <w:lang w:eastAsia="it-IT"/>
    </w:rPr>
  </w:style>
  <w:style w:type="character" w:customStyle="1" w:styleId="Titolo2Carattere">
    <w:name w:val="Titolo 2 Carattere"/>
    <w:basedOn w:val="Carpredefinitoparagrafo"/>
    <w:link w:val="Titolo2"/>
    <w:uiPriority w:val="9"/>
    <w:semiHidden/>
    <w:rsid w:val="006D7EA5"/>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39"/>
    <w:rsid w:val="006D7EA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34EE4"/>
    <w:rPr>
      <w:rFonts w:asciiTheme="majorHAnsi" w:eastAsiaTheme="majorEastAsia" w:hAnsiTheme="majorHAnsi" w:cstheme="majorBidi"/>
      <w:color w:val="365F91" w:themeColor="accent1" w:themeShade="BF"/>
      <w:sz w:val="32"/>
      <w:szCs w:val="32"/>
    </w:rPr>
  </w:style>
  <w:style w:type="paragraph" w:styleId="Testonotaapidipagina">
    <w:name w:val="footnote text"/>
    <w:basedOn w:val="Normale"/>
    <w:link w:val="TestonotaapidipaginaCarattere"/>
    <w:uiPriority w:val="99"/>
    <w:semiHidden/>
    <w:unhideWhenUsed/>
    <w:rsid w:val="00334EE4"/>
    <w:rPr>
      <w:rFonts w:eastAsiaTheme="minorHAnsi"/>
      <w:sz w:val="20"/>
      <w:szCs w:val="20"/>
    </w:rPr>
  </w:style>
  <w:style w:type="character" w:customStyle="1" w:styleId="TestonotaapidipaginaCarattere">
    <w:name w:val="Testo nota a piè di pagina Carattere"/>
    <w:basedOn w:val="Carpredefinitoparagrafo"/>
    <w:link w:val="Testonotaapidipagina"/>
    <w:uiPriority w:val="99"/>
    <w:semiHidden/>
    <w:rsid w:val="00334EE4"/>
    <w:rPr>
      <w:rFonts w:eastAsiaTheme="minorHAnsi"/>
      <w:sz w:val="20"/>
      <w:szCs w:val="20"/>
    </w:rPr>
  </w:style>
  <w:style w:type="character" w:styleId="Rimandonotaapidipagina">
    <w:name w:val="footnote reference"/>
    <w:basedOn w:val="Carpredefinitoparagrafo"/>
    <w:uiPriority w:val="99"/>
    <w:semiHidden/>
    <w:unhideWhenUsed/>
    <w:rsid w:val="00334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5958">
      <w:bodyDiv w:val="1"/>
      <w:marLeft w:val="0"/>
      <w:marRight w:val="0"/>
      <w:marTop w:val="0"/>
      <w:marBottom w:val="0"/>
      <w:divBdr>
        <w:top w:val="none" w:sz="0" w:space="0" w:color="auto"/>
        <w:left w:val="none" w:sz="0" w:space="0" w:color="auto"/>
        <w:bottom w:val="none" w:sz="0" w:space="0" w:color="auto"/>
        <w:right w:val="none" w:sz="0" w:space="0" w:color="auto"/>
      </w:divBdr>
    </w:div>
    <w:div w:id="735904998">
      <w:bodyDiv w:val="1"/>
      <w:marLeft w:val="0"/>
      <w:marRight w:val="0"/>
      <w:marTop w:val="0"/>
      <w:marBottom w:val="0"/>
      <w:divBdr>
        <w:top w:val="none" w:sz="0" w:space="0" w:color="auto"/>
        <w:left w:val="none" w:sz="0" w:space="0" w:color="auto"/>
        <w:bottom w:val="none" w:sz="0" w:space="0" w:color="auto"/>
        <w:right w:val="none" w:sz="0" w:space="0" w:color="auto"/>
      </w:divBdr>
    </w:div>
    <w:div w:id="913465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normattiva.it/uri-res/N2Ls?urn:nir:stato:legge:1994-01-28;84~art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9FC3ABA64106C4687546945687E4AE5" ma:contentTypeVersion="16" ma:contentTypeDescription="Creare un nuovo documento." ma:contentTypeScope="" ma:versionID="f3bf3292646c8fa063e4f049d2ebf7b4">
  <xsd:schema xmlns:xsd="http://www.w3.org/2001/XMLSchema" xmlns:xs="http://www.w3.org/2001/XMLSchema" xmlns:p="http://schemas.microsoft.com/office/2006/metadata/properties" xmlns:ns2="1a72b86a-2fc6-4593-b4cf-9718f6c18b22" xmlns:ns3="4a01a2c9-8edf-44f7-ae70-bceeb31aac9d" targetNamespace="http://schemas.microsoft.com/office/2006/metadata/properties" ma:root="true" ma:fieldsID="32dcaa83268d33d0bf5ae18776a0cb05" ns2:_="" ns3:_="">
    <xsd:import namespace="1a72b86a-2fc6-4593-b4cf-9718f6c18b22"/>
    <xsd:import namespace="4a01a2c9-8edf-44f7-ae70-bceeb31aac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b86a-2fc6-4593-b4cf-9718f6c18b2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41a7dc33-c7aa-4f95-9160-30421a108294}" ma:internalName="TaxCatchAll" ma:showField="CatchAllData" ma:web="1a72b86a-2fc6-4593-b4cf-9718f6c18b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1a2c9-8edf-44f7-ae70-bceeb31aac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01a2c9-8edf-44f7-ae70-bceeb31aac9d">
      <Terms xmlns="http://schemas.microsoft.com/office/infopath/2007/PartnerControls"/>
    </lcf76f155ced4ddcb4097134ff3c332f>
    <TaxCatchAll xmlns="1a72b86a-2fc6-4593-b4cf-9718f6c18b22" xsi:nil="true"/>
    <_Flow_SignoffStatus xmlns="4a01a2c9-8edf-44f7-ae70-bceeb31aac9d" xsi:nil="true"/>
    <Approver xmlns="4a01a2c9-8edf-44f7-ae70-bceeb31aac9d" xsi:nil="true"/>
  </documentManagement>
</p:properties>
</file>

<file path=customXml/itemProps1.xml><?xml version="1.0" encoding="utf-8"?>
<ds:datastoreItem xmlns:ds="http://schemas.openxmlformats.org/officeDocument/2006/customXml" ds:itemID="{B6E94AA1-2275-4E37-804F-152C97789122}"/>
</file>

<file path=customXml/itemProps2.xml><?xml version="1.0" encoding="utf-8"?>
<ds:datastoreItem xmlns:ds="http://schemas.openxmlformats.org/officeDocument/2006/customXml" ds:itemID="{A168A2B8-2538-4973-BB36-C064B72ED28F}"/>
</file>

<file path=customXml/itemProps3.xml><?xml version="1.0" encoding="utf-8"?>
<ds:datastoreItem xmlns:ds="http://schemas.openxmlformats.org/officeDocument/2006/customXml" ds:itemID="{FD422249-C525-4030-A027-AE9FEAD57D2E}"/>
</file>

<file path=docProps/app.xml><?xml version="1.0" encoding="utf-8"?>
<Properties xmlns="http://schemas.openxmlformats.org/officeDocument/2006/extended-properties" xmlns:vt="http://schemas.openxmlformats.org/officeDocument/2006/docPropsVTypes">
  <Template>Normal</Template>
  <TotalTime>8</TotalTime>
  <Pages>17</Pages>
  <Words>6547</Words>
  <Characters>37319</Characters>
  <Application>Microsoft Office Word</Application>
  <DocSecurity>4</DocSecurity>
  <Lines>310</Lines>
  <Paragraphs>87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Grafica</dc:creator>
  <cp:keywords/>
  <dc:description/>
  <cp:lastModifiedBy>alessandro ferrari</cp:lastModifiedBy>
  <cp:revision>2</cp:revision>
  <cp:lastPrinted>2020-01-14T11:13:00Z</cp:lastPrinted>
  <dcterms:created xsi:type="dcterms:W3CDTF">2024-05-15T15:13:00Z</dcterms:created>
  <dcterms:modified xsi:type="dcterms:W3CDTF">2024-05-15T15:13:00Z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0x01010089FC3ABA64106C4687546945687E4AE5</vt:lpwstr>
  </property>
</Properties>
</file>